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51E35" w14:textId="123D2922" w:rsidR="001F1137" w:rsidRPr="0060036D" w:rsidRDefault="00965DE1" w:rsidP="001F1137">
      <w:pPr>
        <w:pStyle w:val="NormalWeb"/>
        <w:spacing w:before="0" w:beforeAutospacing="0" w:after="0" w:afterAutospacing="0"/>
        <w:jc w:val="right"/>
        <w:rPr>
          <w:rStyle w:val="Emphasis"/>
          <w:rFonts w:eastAsia="Times New Roman"/>
          <w:i w:val="0"/>
          <w:color w:val="000000" w:themeColor="text1"/>
          <w:lang w:val="hy-AM"/>
        </w:rPr>
      </w:pPr>
      <w:r>
        <w:rPr>
          <w:rStyle w:val="Emphasis"/>
          <w:rFonts w:eastAsia="Times New Roman"/>
          <w:color w:val="000000" w:themeColor="text1"/>
          <w:lang w:val="hy-AM"/>
        </w:rPr>
        <w:t xml:space="preserve">   </w:t>
      </w:r>
      <w:r w:rsidR="001F1137" w:rsidRPr="0060036D">
        <w:rPr>
          <w:rStyle w:val="Emphasis"/>
          <w:rFonts w:eastAsia="Times New Roman"/>
          <w:color w:val="000000" w:themeColor="text1"/>
          <w:lang w:val="hy-AM"/>
        </w:rPr>
        <w:t>Հավելված</w:t>
      </w:r>
    </w:p>
    <w:p w14:paraId="0993AC37" w14:textId="77777777" w:rsidR="00A95399" w:rsidRPr="0060036D" w:rsidRDefault="00EF6E17" w:rsidP="00A95399">
      <w:pPr>
        <w:pStyle w:val="NormalWeb"/>
        <w:spacing w:before="0" w:beforeAutospacing="0" w:after="0" w:afterAutospacing="0"/>
        <w:jc w:val="right"/>
        <w:rPr>
          <w:rStyle w:val="Emphasis"/>
          <w:rFonts w:eastAsia="Times New Roman"/>
          <w:color w:val="000000" w:themeColor="text1"/>
          <w:lang w:val="hy-AM"/>
        </w:rPr>
      </w:pPr>
      <w:r>
        <w:rPr>
          <w:rStyle w:val="Emphasis"/>
          <w:rFonts w:eastAsia="Times New Roman"/>
          <w:color w:val="000000" w:themeColor="text1"/>
          <w:lang w:val="hy-AM"/>
        </w:rPr>
        <w:t>Նաիրի</w:t>
      </w:r>
      <w:r w:rsidR="001F1137" w:rsidRPr="0060036D">
        <w:rPr>
          <w:rStyle w:val="Emphasis"/>
          <w:rFonts w:eastAsia="Times New Roman"/>
          <w:color w:val="000000" w:themeColor="text1"/>
          <w:lang w:val="hy-AM"/>
        </w:rPr>
        <w:t xml:space="preserve"> համայնքի ավագանու </w:t>
      </w:r>
      <w:r w:rsidR="001F1137" w:rsidRPr="0060036D">
        <w:rPr>
          <w:rStyle w:val="Emphasis"/>
          <w:rFonts w:eastAsia="Times New Roman"/>
          <w:color w:val="000000" w:themeColor="text1"/>
          <w:lang w:val="hy-AM"/>
        </w:rPr>
        <w:br/>
        <w:t>202</w:t>
      </w:r>
      <w:r>
        <w:rPr>
          <w:rStyle w:val="Emphasis"/>
          <w:rFonts w:eastAsia="Times New Roman"/>
          <w:color w:val="000000" w:themeColor="text1"/>
          <w:lang w:val="hy-AM"/>
        </w:rPr>
        <w:t>5</w:t>
      </w:r>
      <w:r w:rsidR="001F1137" w:rsidRPr="0060036D">
        <w:rPr>
          <w:rStyle w:val="Emphasis"/>
          <w:rFonts w:eastAsia="Times New Roman"/>
          <w:color w:val="000000" w:themeColor="text1"/>
          <w:lang w:val="hy-AM"/>
        </w:rPr>
        <w:t xml:space="preserve"> թվականի </w:t>
      </w:r>
      <w:r w:rsidR="00A95399">
        <w:rPr>
          <w:rStyle w:val="Emphasis"/>
          <w:rFonts w:eastAsia="Times New Roman"/>
          <w:color w:val="000000" w:themeColor="text1"/>
          <w:lang w:val="hy-AM"/>
        </w:rPr>
        <w:t>մարտի 14</w:t>
      </w:r>
      <w:r>
        <w:rPr>
          <w:rStyle w:val="Emphasis"/>
          <w:rFonts w:eastAsia="Times New Roman"/>
          <w:color w:val="000000" w:themeColor="text1"/>
          <w:lang w:val="hy-AM"/>
        </w:rPr>
        <w:t>-</w:t>
      </w:r>
      <w:r w:rsidR="001F1137" w:rsidRPr="0060036D">
        <w:rPr>
          <w:rStyle w:val="Emphasis"/>
          <w:rFonts w:eastAsia="Times New Roman"/>
          <w:color w:val="000000" w:themeColor="text1"/>
          <w:lang w:val="hy-AM"/>
        </w:rPr>
        <w:t xml:space="preserve">ի </w:t>
      </w:r>
      <w:r w:rsidR="00A95399">
        <w:rPr>
          <w:rStyle w:val="Emphasis"/>
          <w:rFonts w:eastAsia="Times New Roman"/>
          <w:color w:val="000000" w:themeColor="text1"/>
          <w:lang w:val="hy-AM"/>
        </w:rPr>
        <w:t>36-Ա</w:t>
      </w:r>
      <w:r w:rsidR="00A95399" w:rsidRPr="0060036D">
        <w:rPr>
          <w:rStyle w:val="Emphasis"/>
          <w:rFonts w:eastAsia="Times New Roman"/>
          <w:color w:val="000000" w:themeColor="text1"/>
          <w:lang w:val="hy-AM"/>
        </w:rPr>
        <w:t xml:space="preserve"> որոշման </w:t>
      </w:r>
    </w:p>
    <w:p w14:paraId="4234A27B" w14:textId="1DB66F7E" w:rsidR="001F1137" w:rsidRPr="0060036D" w:rsidRDefault="001F1137" w:rsidP="001F1137">
      <w:pPr>
        <w:pStyle w:val="NormalWeb"/>
        <w:spacing w:before="0" w:beforeAutospacing="0" w:after="0" w:afterAutospacing="0"/>
        <w:jc w:val="right"/>
        <w:rPr>
          <w:rStyle w:val="Emphasis"/>
          <w:rFonts w:eastAsia="Times New Roman"/>
          <w:i w:val="0"/>
          <w:color w:val="000000" w:themeColor="text1"/>
          <w:lang w:val="hy-AM"/>
        </w:rPr>
      </w:pPr>
      <w:bookmarkStart w:id="0" w:name="_GoBack"/>
      <w:bookmarkEnd w:id="0"/>
    </w:p>
    <w:p w14:paraId="784A309B" w14:textId="001D92C1" w:rsidR="001F1137" w:rsidRPr="0060036D" w:rsidRDefault="00D041F3" w:rsidP="001F1137">
      <w:pPr>
        <w:pStyle w:val="NormalWeb"/>
        <w:spacing w:before="0" w:beforeAutospacing="0" w:after="0" w:afterAutospacing="0"/>
        <w:jc w:val="right"/>
        <w:rPr>
          <w:rStyle w:val="Emphasis"/>
          <w:rFonts w:eastAsia="Times New Roman"/>
          <w:color w:val="000000" w:themeColor="text1"/>
          <w:lang w:val="hy-AM"/>
        </w:rPr>
      </w:pPr>
      <w:r>
        <w:rPr>
          <w:rStyle w:val="Emphasis"/>
          <w:rFonts w:eastAsia="Times New Roman"/>
          <w:color w:val="000000" w:themeColor="text1"/>
          <w:lang w:val="hy-AM"/>
        </w:rPr>
        <w:t xml:space="preserve"> </w:t>
      </w:r>
    </w:p>
    <w:p w14:paraId="5137A80A" w14:textId="77777777" w:rsidR="001F1137" w:rsidRPr="0060036D" w:rsidRDefault="001F1137" w:rsidP="001F1137">
      <w:pPr>
        <w:pStyle w:val="NormalWeb"/>
        <w:spacing w:before="0" w:beforeAutospacing="0" w:after="0" w:afterAutospacing="0"/>
        <w:rPr>
          <w:rStyle w:val="Emphasis"/>
          <w:rFonts w:eastAsia="Times New Roman"/>
          <w:color w:val="000000" w:themeColor="text1"/>
          <w:lang w:val="hy-AM"/>
        </w:rPr>
      </w:pPr>
    </w:p>
    <w:p w14:paraId="5F3659AD" w14:textId="77777777" w:rsidR="001F1137" w:rsidRPr="0060036D" w:rsidRDefault="001F1137" w:rsidP="001F1137">
      <w:pPr>
        <w:pStyle w:val="NormalWeb"/>
        <w:spacing w:before="0" w:beforeAutospacing="0" w:after="0" w:afterAutospacing="0"/>
        <w:rPr>
          <w:rStyle w:val="Emphasis"/>
          <w:rFonts w:eastAsia="Times New Roman"/>
          <w:color w:val="000000" w:themeColor="text1"/>
          <w:lang w:val="hy-AM"/>
        </w:rPr>
      </w:pPr>
    </w:p>
    <w:p w14:paraId="431B3E14" w14:textId="77777777" w:rsidR="001F1137" w:rsidRPr="0060036D" w:rsidRDefault="001F1137" w:rsidP="001F1137">
      <w:pPr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Ծ</w:t>
      </w:r>
      <w:r w:rsidRPr="0060036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1F113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Ր</w:t>
      </w:r>
      <w:r w:rsidRPr="0060036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1F113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Ա</w:t>
      </w:r>
      <w:r w:rsidRPr="0060036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</w:t>
      </w:r>
      <w:r w:rsidRPr="001F113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Գ</w:t>
      </w:r>
      <w:r w:rsidRPr="0060036D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 Ի </w:t>
      </w:r>
      <w:r w:rsidRPr="001F1137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Ր</w:t>
      </w:r>
    </w:p>
    <w:p w14:paraId="07296541" w14:textId="7A09F804" w:rsidR="001F1137" w:rsidRPr="0060036D" w:rsidRDefault="001F1137" w:rsidP="001F1137">
      <w:pPr>
        <w:spacing w:after="0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="00EF6E17">
        <w:rPr>
          <w:rFonts w:ascii="GHEA Grapalat" w:hAnsi="GHEA Grapalat"/>
          <w:color w:val="000000" w:themeColor="text1"/>
          <w:sz w:val="24"/>
          <w:szCs w:val="24"/>
          <w:lang w:val="hy-AM"/>
        </w:rPr>
        <w:t>Կոտայքի</w:t>
      </w:r>
      <w:r w:rsidRPr="0060036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մարզի </w:t>
      </w:r>
      <w:r w:rsidR="00EF6E17">
        <w:rPr>
          <w:rFonts w:ascii="GHEA Grapalat" w:hAnsi="GHEA Grapalat"/>
          <w:color w:val="000000" w:themeColor="text1"/>
          <w:sz w:val="24"/>
          <w:szCs w:val="24"/>
          <w:lang w:val="hy-AM"/>
        </w:rPr>
        <w:t>Նաիրի</w:t>
      </w:r>
      <w:r w:rsidRPr="0060036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տեղական ինքնակառավարման մարմիններ</w:t>
      </w:r>
      <w:r w:rsidRPr="0060036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 և համայնքապետարանի աշխատակազմի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հակակոռուպցիոն միջոցառումների </w:t>
      </w:r>
    </w:p>
    <w:p w14:paraId="5A1E15E0" w14:textId="77777777" w:rsidR="001F1137" w:rsidRPr="0060036D" w:rsidRDefault="001F1137" w:rsidP="001F1137">
      <w:pPr>
        <w:spacing w:after="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/>
        </w:rPr>
      </w:pPr>
    </w:p>
    <w:p w14:paraId="01FBDFC2" w14:textId="0AE104AA" w:rsidR="001F1137" w:rsidRPr="001F1137" w:rsidRDefault="001F1137" w:rsidP="001F1137">
      <w:pPr>
        <w:spacing w:after="0" w:line="276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Հայաստանի Հանրապետության </w:t>
      </w:r>
      <w:r w:rsidR="00EF6E1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Կոտայքի </w:t>
      </w:r>
      <w:r w:rsidRPr="0060036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մարզի </w:t>
      </w:r>
      <w:r w:rsidR="00EF6E17">
        <w:rPr>
          <w:rFonts w:ascii="GHEA Grapalat" w:hAnsi="GHEA Grapalat"/>
          <w:color w:val="000000" w:themeColor="text1"/>
          <w:sz w:val="24"/>
          <w:szCs w:val="24"/>
          <w:lang w:val="hy-AM"/>
        </w:rPr>
        <w:t>Նաիրի</w:t>
      </w:r>
      <w:r w:rsidRPr="0060036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տեղական ինքնակառավարման մարմիններում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(այսուհետ՝ ՏԻՄ-եր</w:t>
      </w:r>
      <w:r w:rsidR="00EF6E1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) </w:t>
      </w:r>
      <w:r w:rsidRPr="0060036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և համայնքապետարանի աշխատակազմում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հակակոռուպցիոն </w:t>
      </w:r>
      <w:r w:rsidRPr="0060036D">
        <w:rPr>
          <w:rFonts w:ascii="GHEA Grapalat" w:hAnsi="GHEA Grapalat"/>
          <w:color w:val="000000" w:themeColor="text1"/>
          <w:sz w:val="24"/>
          <w:szCs w:val="24"/>
          <w:lang w:val="hy-AM"/>
        </w:rPr>
        <w:t>միջոցառումների ծրագր</w:t>
      </w:r>
      <w:r w:rsidR="004172F8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Pr="0060036D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172F8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նպատակն է </w:t>
      </w:r>
      <w:r w:rsidR="00EF6E17">
        <w:rPr>
          <w:rFonts w:ascii="GHEA Grapalat" w:hAnsi="GHEA Grapalat"/>
          <w:color w:val="000000" w:themeColor="text1"/>
          <w:sz w:val="24"/>
          <w:szCs w:val="24"/>
          <w:lang w:val="hy-AM"/>
        </w:rPr>
        <w:t>Նաիրի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</w:t>
      </w:r>
      <w:r w:rsidR="004172F8" w:rsidRPr="0060036D">
        <w:rPr>
          <w:rFonts w:ascii="GHEA Grapalat" w:hAnsi="GHEA Grapalat"/>
          <w:color w:val="000000" w:themeColor="text1"/>
          <w:sz w:val="24"/>
          <w:szCs w:val="24"/>
          <w:lang w:val="hy-AM"/>
        </w:rPr>
        <w:t>տեղական ինքնակառավարման մարմիններում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և համայնքապետարանի աշխատակազմում տեղական հակակոռուպցիոն քաղաքականության պատշաճ իրագործման ապահովումը։</w:t>
      </w:r>
    </w:p>
    <w:p w14:paraId="36C3CD00" w14:textId="4B583D07" w:rsidR="001F1137" w:rsidRPr="001F1137" w:rsidRDefault="001F1137" w:rsidP="001F1137">
      <w:pPr>
        <w:spacing w:after="0" w:line="276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Փաստաթղթում ներկայացվում է նաև ՏԻՄ-երում և աշխատակազմում կոռուպցիոն ռիսկերի գնահատում իրականացնելու մեթոդաբանությունից բխող գործողությունների ծրագիրը, որի հիմնական նպատակն է սահմանել ՏԻՄ-երի այն հիմնական քայլերն ու գործողությունները, որոնց իրականացման արդյունքում  կնվազեցվեն  ՏԻՄ-երում և աշխատակազմում իրավակիրառական պրակտիկային բնորոշ կոռուպցիոն հնարավոր ռիսկերը։</w:t>
      </w:r>
    </w:p>
    <w:p w14:paraId="55CFE58D" w14:textId="0DDBA08B" w:rsidR="001F1137" w:rsidRPr="001F1137" w:rsidRDefault="001F1137" w:rsidP="001F1137">
      <w:pPr>
        <w:spacing w:after="0" w:line="276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Ծրագրի արդյունավետ աշխատանքը ապահովելու առաջին քայլը տեղական ինքնակառավարման համակարգի այն հիմնական խնդիրների վերհանումն է, որոնք անմիջական </w:t>
      </w:r>
      <w:r w:rsidR="00AB4516">
        <w:rPr>
          <w:rFonts w:ascii="GHEA Grapalat" w:hAnsi="GHEA Grapalat"/>
          <w:color w:val="000000" w:themeColor="text1"/>
          <w:sz w:val="24"/>
          <w:szCs w:val="24"/>
          <w:lang w:val="hy-AM"/>
        </w:rPr>
        <w:t>առնչվում են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ՏԻՄ-երում հնարավոր կոռուպցիոն ռիսկերի առաջացման հետ։ </w:t>
      </w:r>
    </w:p>
    <w:p w14:paraId="23A62B9D" w14:textId="77777777" w:rsidR="001F1137" w:rsidRPr="001F1137" w:rsidRDefault="001F1137" w:rsidP="001F1137">
      <w:pPr>
        <w:spacing w:after="0" w:line="276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ՏԻՄ-երում կոռուպցիոն ռիսկերի առաջացման հնարավոր պատճառներ են. </w:t>
      </w:r>
    </w:p>
    <w:p w14:paraId="38E3F443" w14:textId="77777777" w:rsidR="001F1137" w:rsidRPr="001F1137" w:rsidRDefault="001F1137" w:rsidP="001F113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Տեղական ինքնակառավարմանը հանրային մասնակցության ցածր մակարդակը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1C1E7A18" w14:textId="77777777" w:rsidR="001F1137" w:rsidRPr="001F1137" w:rsidRDefault="001F1137" w:rsidP="001F113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Բնակչության իրազեկվածության պակասը համայնքի ՏԻՄ-երի լիազորությունների վերաբերյալ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583EB6B2" w14:textId="77777777" w:rsidR="001F1137" w:rsidRPr="001F1137" w:rsidRDefault="001F1137" w:rsidP="001F113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կողմից մատուցվող հանրային ծառայությունների մատուցման պատշաճ կազմակերպման հետ կապված խնդիրները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78F3AB8B" w14:textId="09DE2FDC" w:rsidR="001F1137" w:rsidRPr="001F1137" w:rsidRDefault="001F1137" w:rsidP="001F113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Համայնքապետարանի  աշխատակազմում  «Մեկ պատուհան» սկզբունքով ծառայությունների տրամադրման </w:t>
      </w:r>
      <w:r w:rsidR="00AB451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որակի բարելավումը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3708EE61" w14:textId="52511796" w:rsidR="001F1137" w:rsidRPr="001F1137" w:rsidRDefault="00A24770" w:rsidP="001F113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1F1137"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ամայնքի կողմից մատուցվող ծառայությունների ստացման օնլայն հարթակների 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առկայության վերաբերյալ իրազեկման </w:t>
      </w:r>
      <w:r w:rsidR="001F1137"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բացակայությունը և այլն.</w:t>
      </w:r>
    </w:p>
    <w:p w14:paraId="6CADD4E1" w14:textId="77777777" w:rsidR="001F1137" w:rsidRPr="001F1137" w:rsidRDefault="001F1137" w:rsidP="001F1137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</w:rPr>
        <w:t>Օրենսդրական խնդիրներ.</w:t>
      </w:r>
    </w:p>
    <w:p w14:paraId="63CCAD2E" w14:textId="77777777" w:rsidR="001F1137" w:rsidRPr="001F1137" w:rsidRDefault="001F1137" w:rsidP="001F1137">
      <w:pPr>
        <w:tabs>
          <w:tab w:val="left" w:pos="270"/>
        </w:tabs>
        <w:spacing w:after="0" w:line="276" w:lineRule="auto"/>
        <w:ind w:right="-8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 xml:space="preserve">         Տեղական ինքնակառավարման գործընթացներում կոռուպցիոն հնարավոր ռիսկերի բացառման տեսանկյունից Տեղական ինքնակառավարման մասին Հայաստանի Հանրապետության օրենքով սահմանված են տեղական ինքնակառավարման մարմինների աշխատանքի հետևյալ հիմնական սկզբունքները.</w:t>
      </w:r>
    </w:p>
    <w:p w14:paraId="3E1C97DA" w14:textId="151E7CE6" w:rsidR="001F1137" w:rsidRPr="001F1137" w:rsidRDefault="001F1137" w:rsidP="001F0EE7">
      <w:pPr>
        <w:tabs>
          <w:tab w:val="left" w:pos="0"/>
        </w:tabs>
        <w:spacing w:after="0" w:line="276" w:lineRule="auto"/>
        <w:ind w:right="-86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</w:t>
      </w:r>
      <w:r w:rsidR="001F0EE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1.ՏԻՄ-երի գործունեության հաշվետվողականությունը,</w:t>
      </w:r>
    </w:p>
    <w:p w14:paraId="69FA4D60" w14:textId="77777777" w:rsidR="001F1137" w:rsidRPr="001F1137" w:rsidRDefault="001F1137" w:rsidP="001F1137">
      <w:pPr>
        <w:spacing w:after="0" w:line="276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2.Հրապարակայնությունը,</w:t>
      </w:r>
    </w:p>
    <w:p w14:paraId="42774B25" w14:textId="77777777" w:rsidR="001F1137" w:rsidRPr="001F1137" w:rsidRDefault="001F1137" w:rsidP="001F1137">
      <w:pPr>
        <w:spacing w:after="0" w:line="276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3.Թափանցիկությունը,</w:t>
      </w:r>
    </w:p>
    <w:p w14:paraId="758A9A2A" w14:textId="7BFF8857" w:rsidR="001F1137" w:rsidRPr="001F1137" w:rsidRDefault="001F1137" w:rsidP="001F1137">
      <w:pPr>
        <w:spacing w:after="0" w:line="276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4.Համայնքի իրավունքների և օրինական շահերի պաշտպանությունը,</w:t>
      </w:r>
    </w:p>
    <w:p w14:paraId="61492149" w14:textId="77777777" w:rsidR="001F1137" w:rsidRPr="001F1137" w:rsidRDefault="001F1137" w:rsidP="001F1137">
      <w:pPr>
        <w:spacing w:after="0" w:line="276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5.ՏԻՄ-երի սեփական պատասխանատվությունը:</w:t>
      </w:r>
    </w:p>
    <w:p w14:paraId="4D8EDA3D" w14:textId="1EAA305B" w:rsidR="001F1137" w:rsidRPr="001F1137" w:rsidRDefault="001F1137" w:rsidP="001F1137">
      <w:pPr>
        <w:spacing w:after="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Տեղական ինքնակառավարման մարմինների աշխատանքի սկզբունքների կատարումն ապահովելու և տեղական ինքնակառավարման գործընթացներում կոռուպցիոն հնարավոր ռիսկերի վերահսկողության և բացառման նպատակով անհրաժեշտ է </w:t>
      </w:r>
      <w:r w:rsidR="00A2477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իրականացնել </w:t>
      </w:r>
      <w:r w:rsidR="00EF6E17">
        <w:rPr>
          <w:rFonts w:ascii="GHEA Grapalat" w:hAnsi="GHEA Grapalat"/>
          <w:color w:val="000000" w:themeColor="text1"/>
          <w:sz w:val="24"/>
          <w:szCs w:val="24"/>
          <w:lang w:val="hy-AM"/>
        </w:rPr>
        <w:t>Նաիրի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համայնքի տ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եղական ինքնակառավարման մարմիններում  և համայնք</w:t>
      </w:r>
      <w:r w:rsidR="00A24770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ապետարան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ի աշխատակազմում կոռուպցիոն ռիսկերի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ինքնագնահատման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աշխատանքային հանձնաժողով (այսուհետ՝ </w:t>
      </w:r>
      <w:r w:rsidR="00A24770">
        <w:rPr>
          <w:rFonts w:ascii="GHEA Grapalat" w:hAnsi="GHEA Grapalat"/>
          <w:color w:val="000000" w:themeColor="text1"/>
          <w:sz w:val="24"/>
          <w:szCs w:val="24"/>
          <w:lang w:val="hy-AM"/>
        </w:rPr>
        <w:t>Հա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նձնաժողով): </w:t>
      </w:r>
    </w:p>
    <w:p w14:paraId="7C574580" w14:textId="77777777" w:rsidR="001F1137" w:rsidRPr="001F1137" w:rsidRDefault="001F1137" w:rsidP="001F1137">
      <w:pPr>
        <w:spacing w:after="0" w:line="276" w:lineRule="auto"/>
        <w:ind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Աշխատանքային հանձնաժողովի կազմում ընդգրկել՝  </w:t>
      </w:r>
    </w:p>
    <w:p w14:paraId="6C32646A" w14:textId="77777777" w:rsidR="00B804B6" w:rsidRPr="001F1137" w:rsidRDefault="00B804B6" w:rsidP="00B804B6">
      <w:pPr>
        <w:pStyle w:val="ListParagraph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ղեկավար.</w:t>
      </w:r>
    </w:p>
    <w:p w14:paraId="3B123C8E" w14:textId="77777777" w:rsidR="001F1137" w:rsidRPr="001F1137" w:rsidRDefault="001F1137" w:rsidP="001F1137">
      <w:pPr>
        <w:pStyle w:val="ListParagraph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Համայնքի ավագանու անդամ կամ անդամներ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23F1F5AB" w14:textId="5BFD4855" w:rsidR="001F1137" w:rsidRPr="001F1137" w:rsidRDefault="001F1137" w:rsidP="001F1137">
      <w:pPr>
        <w:pStyle w:val="ListParagraph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Համայնքա</w:t>
      </w:r>
      <w:r w:rsidR="008E2600">
        <w:rPr>
          <w:rFonts w:ascii="GHEA Grapalat" w:hAnsi="GHEA Grapalat"/>
          <w:color w:val="000000" w:themeColor="text1"/>
          <w:sz w:val="24"/>
          <w:szCs w:val="24"/>
          <w:lang w:val="hy-AM"/>
        </w:rPr>
        <w:t>պետարանի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աշխատակազմի քարտուղար.</w:t>
      </w:r>
    </w:p>
    <w:p w14:paraId="146A5B7E" w14:textId="77777777" w:rsidR="001F1137" w:rsidRPr="001F1137" w:rsidRDefault="001F1137" w:rsidP="001F1137">
      <w:pPr>
        <w:pStyle w:val="ListParagraph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Համայնքապետարանի աշխատակազմի իրավաբան</w:t>
      </w:r>
      <w:r w:rsidRPr="001F1137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պատասխանատու</w:t>
      </w:r>
      <w:r w:rsidRPr="001F1137">
        <w:rPr>
          <w:rFonts w:ascii="GHEA Grapalat" w:hAnsi="GHEA Grapalat"/>
          <w:color w:val="000000" w:themeColor="text1"/>
          <w:sz w:val="24"/>
          <w:szCs w:val="24"/>
        </w:rPr>
        <w:t>.</w:t>
      </w:r>
    </w:p>
    <w:p w14:paraId="21C7CDE0" w14:textId="4B9CE688" w:rsidR="008E2600" w:rsidRPr="00EF6E17" w:rsidRDefault="001F1137" w:rsidP="00EF6E17">
      <w:pPr>
        <w:pStyle w:val="ListParagraph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Համայնքապետարանի աշխատակազմի ֆինանսատնտեսական պատասխանատու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.</w:t>
      </w:r>
    </w:p>
    <w:p w14:paraId="1A3AFBF2" w14:textId="77777777" w:rsidR="001F1137" w:rsidRPr="001F1137" w:rsidRDefault="001F1137" w:rsidP="001F1137">
      <w:pPr>
        <w:pStyle w:val="ListParagraph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Քաղաքացիական հասարակության ներկայացուցիչ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</w:rPr>
        <w:t>.</w:t>
      </w:r>
    </w:p>
    <w:p w14:paraId="63E03D3E" w14:textId="77777777" w:rsidR="001F1137" w:rsidRPr="001F1137" w:rsidRDefault="001F1137" w:rsidP="001F1137">
      <w:pPr>
        <w:pStyle w:val="ListParagraph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Տեղական ինքնակառավարման ոլորտի փորձագետ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</w:rPr>
        <w:t>.</w:t>
      </w:r>
    </w:p>
    <w:p w14:paraId="1922F8F7" w14:textId="46EF73A1" w:rsidR="001E21EF" w:rsidRPr="001E21EF" w:rsidRDefault="001E21EF" w:rsidP="001F1137">
      <w:pPr>
        <w:pStyle w:val="ListParagraph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pacing w:val="5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Այլ անդամներ</w:t>
      </w:r>
      <w:r w:rsidR="00B804B6">
        <w:rPr>
          <w:rFonts w:ascii="Cambria Math" w:hAnsi="Cambria Math"/>
          <w:color w:val="000000" w:themeColor="text1"/>
          <w:sz w:val="24"/>
          <w:szCs w:val="24"/>
          <w:lang w:val="hy-AM"/>
        </w:rPr>
        <w:t>․</w:t>
      </w:r>
    </w:p>
    <w:p w14:paraId="37AAAE0B" w14:textId="07675200" w:rsidR="001F1137" w:rsidRPr="001F1137" w:rsidRDefault="001E21EF" w:rsidP="001F1137">
      <w:pPr>
        <w:pStyle w:val="ListParagraph"/>
        <w:numPr>
          <w:ilvl w:val="0"/>
          <w:numId w:val="2"/>
        </w:numPr>
        <w:spacing w:after="0" w:line="276" w:lineRule="auto"/>
        <w:ind w:left="1080"/>
        <w:jc w:val="both"/>
        <w:rPr>
          <w:rFonts w:ascii="GHEA Grapalat" w:hAnsi="GHEA Grapalat"/>
          <w:color w:val="000000" w:themeColor="text1"/>
          <w:spacing w:val="5"/>
          <w:sz w:val="24"/>
          <w:szCs w:val="24"/>
          <w:lang w:val="hy-AM"/>
        </w:rPr>
      </w:pP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Ինքնագնահատման խմբի աշխատանքները համակարգող անձ՝ համայնքի ղեկավարի որոշմամբ</w:t>
      </w:r>
      <w:r w:rsidRPr="001F1137">
        <w:rPr>
          <w:rFonts w:ascii="GHEA Grapalat" w:hAnsi="GHEA Grapalat" w:cs="Cambria Math"/>
          <w:color w:val="000000" w:themeColor="text1"/>
          <w:sz w:val="24"/>
          <w:szCs w:val="24"/>
          <w:lang w:val="hy-AM"/>
        </w:rPr>
        <w:t>։</w:t>
      </w:r>
    </w:p>
    <w:p w14:paraId="29E3A966" w14:textId="77777777" w:rsidR="001F1137" w:rsidRPr="001F1137" w:rsidRDefault="001F1137" w:rsidP="001F1137">
      <w:pPr>
        <w:pStyle w:val="ListParagraph"/>
        <w:spacing w:after="0"/>
        <w:ind w:left="36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Տեղական ինքնակառավարման մարմիններում  և համայնքի աշխատակազմում կոռուպցիոն ռիսկերի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>ինքնագնահատման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 </w:t>
      </w:r>
      <w:r w:rsidRPr="001F113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աշխատանքային հանձնաժողովի ուսումնասիրման և վերահսկման ենթակա ցուցանիշներն են. </w:t>
      </w:r>
    </w:p>
    <w:p w14:paraId="1DE679E2" w14:textId="77777777" w:rsidR="001F1137" w:rsidRPr="001F1137" w:rsidRDefault="001F1137" w:rsidP="001F1137">
      <w:pPr>
        <w:spacing w:after="0" w:line="276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tbl>
      <w:tblPr>
        <w:tblW w:w="9576" w:type="dxa"/>
        <w:tblInd w:w="108" w:type="dxa"/>
        <w:tblBorders>
          <w:top w:val="dotted" w:sz="2" w:space="0" w:color="0000FF"/>
          <w:left w:val="dotted" w:sz="2" w:space="0" w:color="0000FF"/>
          <w:bottom w:val="dotted" w:sz="2" w:space="0" w:color="0000FF"/>
          <w:right w:val="dotted" w:sz="2" w:space="0" w:color="0000FF"/>
          <w:insideH w:val="dotted" w:sz="2" w:space="0" w:color="0000FF"/>
          <w:insideV w:val="dotted" w:sz="2" w:space="0" w:color="0000FF"/>
        </w:tblBorders>
        <w:tblLook w:val="04A0" w:firstRow="1" w:lastRow="0" w:firstColumn="1" w:lastColumn="0" w:noHBand="0" w:noVBand="1"/>
      </w:tblPr>
      <w:tblGrid>
        <w:gridCol w:w="270"/>
        <w:gridCol w:w="9306"/>
      </w:tblGrid>
      <w:tr w:rsidR="001F1137" w:rsidRPr="00A95399" w14:paraId="5946C988" w14:textId="77777777" w:rsidTr="001F0EE7">
        <w:tc>
          <w:tcPr>
            <w:tcW w:w="270" w:type="dxa"/>
            <w:shd w:val="clear" w:color="auto" w:fill="auto"/>
          </w:tcPr>
          <w:p w14:paraId="2DDEA60C" w14:textId="77777777" w:rsidR="001F1137" w:rsidRPr="008E2600" w:rsidRDefault="001F1137" w:rsidP="000E2FF0">
            <w:pPr>
              <w:pStyle w:val="NormalWeb"/>
              <w:tabs>
                <w:tab w:val="right" w:pos="21"/>
              </w:tabs>
              <w:spacing w:before="0" w:beforeAutospacing="0" w:after="0" w:afterAutospacing="0" w:line="360" w:lineRule="auto"/>
              <w:ind w:left="432"/>
              <w:rPr>
                <w:rStyle w:val="Emphasis"/>
                <w:rFonts w:cs="Arial"/>
                <w:b/>
                <w:bCs/>
                <w:i w:val="0"/>
                <w:color w:val="000000" w:themeColor="text1"/>
                <w:lang w:val="hy-AM"/>
              </w:rPr>
            </w:pPr>
          </w:p>
        </w:tc>
        <w:tc>
          <w:tcPr>
            <w:tcW w:w="9306" w:type="dxa"/>
            <w:shd w:val="clear" w:color="auto" w:fill="auto"/>
          </w:tcPr>
          <w:p w14:paraId="5194F71F" w14:textId="77777777" w:rsidR="001F1137" w:rsidRPr="008E2600" w:rsidRDefault="001F1137" w:rsidP="001F1137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47" w:hanging="270"/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  <w:t>«Առաջնորդություն և կառավարում»</w:t>
            </w:r>
            <w:r w:rsidRPr="008E2600">
              <w:rPr>
                <w:rFonts w:ascii="GHEA Grapalat" w:eastAsia="Times New Roman" w:hAnsi="GHEA Grapalat" w:cs="Cambria Math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5AD93527" w14:textId="77777777" w:rsidR="001F1137" w:rsidRPr="008E2600" w:rsidRDefault="001F1137" w:rsidP="001F1137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Համայնքի ավագանու գործունեություն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59D911A7" w14:textId="77777777" w:rsidR="001F1137" w:rsidRPr="008E2600" w:rsidRDefault="001F1137" w:rsidP="001F1137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Համայնքի ղեկավարի գործունեություն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77871080" w14:textId="77777777" w:rsidR="001F1137" w:rsidRPr="008E2600" w:rsidRDefault="001F1137" w:rsidP="001F1137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147" w:hanging="1517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Համայնքի աշխատակազմի քարտուղարի գործունեություն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139100BA" w14:textId="77777777" w:rsidR="001F1137" w:rsidRPr="008E2600" w:rsidRDefault="001F1137" w:rsidP="001F1137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Համայնքի աշխատակազմի գործունեություն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3CD5ADB9" w14:textId="77777777" w:rsidR="001F1137" w:rsidRPr="008E2600" w:rsidRDefault="001F1137" w:rsidP="001F1137">
            <w:pPr>
              <w:numPr>
                <w:ilvl w:val="2"/>
                <w:numId w:val="4"/>
              </w:numPr>
              <w:shd w:val="clear" w:color="auto" w:fill="FFFFFF"/>
              <w:spacing w:after="0" w:line="276" w:lineRule="auto"/>
              <w:ind w:left="2147" w:hanging="1517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Համայնքի ռազմավարական պլանավորում և տնտեսական զարգացում.</w:t>
            </w:r>
          </w:p>
          <w:p w14:paraId="12F41E60" w14:textId="77777777" w:rsidR="001F1137" w:rsidRPr="008E2600" w:rsidRDefault="001F1137" w:rsidP="008E2600">
            <w:pPr>
              <w:shd w:val="clear" w:color="auto" w:fill="FFFFFF"/>
              <w:spacing w:after="0" w:line="276" w:lineRule="auto"/>
              <w:ind w:left="2147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</w:p>
          <w:p w14:paraId="78098EBA" w14:textId="77777777" w:rsidR="001F1137" w:rsidRPr="008E2600" w:rsidRDefault="001F1137" w:rsidP="001F1137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47" w:hanging="270"/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  <w:t>«Ֆինանսական կառավարում»</w:t>
            </w:r>
            <w:r w:rsidRPr="008E2600">
              <w:rPr>
                <w:rFonts w:ascii="GHEA Grapalat" w:eastAsia="Times New Roman" w:hAnsi="GHEA Grapalat" w:cs="Cambria Math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21B55BB3" w14:textId="77777777" w:rsidR="001F1137" w:rsidRPr="008E2600" w:rsidRDefault="001F1137" w:rsidP="001F1137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lastRenderedPageBreak/>
              <w:t>Բյուջետային գործընթաց և հաշվետվողականություն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458BABAF" w14:textId="77777777" w:rsidR="001F1137" w:rsidRPr="008E2600" w:rsidRDefault="001F1137" w:rsidP="001F1137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147" w:hanging="1517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 Տեղական հարկային վարչարարություն և ֆինանսական անկախություն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1A462142" w14:textId="77777777" w:rsidR="001F1137" w:rsidRPr="008E2600" w:rsidRDefault="001F1137" w:rsidP="001F1137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Գնումներ և պայմանագրերի կատարում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14:paraId="0F769BCC" w14:textId="77777777" w:rsidR="001F1137" w:rsidRPr="008E2600" w:rsidRDefault="001F1137" w:rsidP="001F1137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Եկամուտների հավաքագրում և ծախսերի կատարում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5443AB23" w14:textId="77777777" w:rsidR="001F1137" w:rsidRPr="008E2600" w:rsidRDefault="001F1137" w:rsidP="001F1137">
            <w:pPr>
              <w:numPr>
                <w:ilvl w:val="3"/>
                <w:numId w:val="5"/>
              </w:numPr>
              <w:shd w:val="clear" w:color="auto" w:fill="FFFFFF"/>
              <w:spacing w:after="0" w:line="276" w:lineRule="auto"/>
              <w:ind w:left="2880" w:hanging="2250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Համայնքի գույքի կառավարում.</w:t>
            </w:r>
          </w:p>
          <w:p w14:paraId="564B75BC" w14:textId="77777777" w:rsidR="001F1137" w:rsidRPr="008E2600" w:rsidRDefault="001F1137" w:rsidP="000E2FF0">
            <w:pPr>
              <w:pStyle w:val="ListParagraph"/>
              <w:shd w:val="clear" w:color="auto" w:fill="FFFFFF"/>
              <w:spacing w:after="0" w:line="360" w:lineRule="auto"/>
              <w:ind w:left="0"/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</w:pPr>
          </w:p>
          <w:p w14:paraId="27F09F90" w14:textId="77777777" w:rsidR="001F1137" w:rsidRPr="008E2600" w:rsidRDefault="001F1137" w:rsidP="001F1137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47" w:hanging="270"/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  <w:t>«Լիազորություններ, հանրային և տեղական ծառայություններ»</w:t>
            </w:r>
            <w:r w:rsidRPr="008E2600">
              <w:rPr>
                <w:rFonts w:ascii="GHEA Grapalat" w:eastAsia="Times New Roman" w:hAnsi="GHEA Grapalat" w:cs="Cambria Math"/>
                <w:bCs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5526313A" w14:textId="77777777" w:rsidR="001F1137" w:rsidRPr="008E2600" w:rsidRDefault="001F1137" w:rsidP="001F113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մատուցման վարչարարություն (ՏԻՄ լիազորություններ և պետական մարմինների ապակենտրոնացված լիազորություններ)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353B56B6" w14:textId="77777777" w:rsidR="001F1137" w:rsidRPr="008E2600" w:rsidRDefault="001F1137" w:rsidP="001F113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մատուցման պլանավորում և իրագործում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407A5963" w14:textId="77777777" w:rsidR="001F1137" w:rsidRPr="008E2600" w:rsidRDefault="001F1137" w:rsidP="001F113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համար թույլտվությունների կամ այլ փաստաթղթերի տրամադրում և ծառայությունների դիմաց վճարման ընթացակարգեր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30C3F991" w14:textId="77777777" w:rsidR="001F1137" w:rsidRPr="008E2600" w:rsidRDefault="001F1137" w:rsidP="001F113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հասանելիություն և բավարարվածություն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6949F7E8" w14:textId="77777777" w:rsidR="001F1137" w:rsidRPr="008E2600" w:rsidRDefault="001F1137" w:rsidP="001F1137">
            <w:pPr>
              <w:numPr>
                <w:ilvl w:val="0"/>
                <w:numId w:val="6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և տեղական ծառայությունների որակ, որակի նկատմամբ հսկողություն, որակի գնահատում (մոնիթորինգ).</w:t>
            </w:r>
          </w:p>
          <w:p w14:paraId="1CD54536" w14:textId="77777777" w:rsidR="001F1137" w:rsidRPr="008E2600" w:rsidRDefault="001F1137" w:rsidP="000E2FF0">
            <w:pPr>
              <w:pStyle w:val="ListParagraph"/>
              <w:shd w:val="clear" w:color="auto" w:fill="FFFFFF"/>
              <w:spacing w:after="0"/>
              <w:ind w:left="0"/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</w:pPr>
          </w:p>
          <w:p w14:paraId="3CCCEB87" w14:textId="77777777" w:rsidR="001F1137" w:rsidRPr="008E2600" w:rsidRDefault="001F1137" w:rsidP="001F1137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left="347" w:hanging="270"/>
              <w:rPr>
                <w:rStyle w:val="Emphasis"/>
                <w:rFonts w:ascii="GHEA Grapalat" w:eastAsia="Times New Roman" w:hAnsi="GHEA Grapalat" w:cs="Arial"/>
                <w:bCs/>
                <w:i w:val="0"/>
                <w:caps/>
                <w:color w:val="000000" w:themeColor="text1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bCs/>
                <w:iCs/>
                <w:color w:val="000000" w:themeColor="text1"/>
                <w:sz w:val="24"/>
                <w:szCs w:val="24"/>
                <w:lang w:val="hy-AM"/>
              </w:rPr>
              <w:t>«Հանրային մասնակցություն»</w:t>
            </w:r>
            <w:r w:rsidRPr="008E2600">
              <w:rPr>
                <w:rFonts w:ascii="GHEA Grapalat" w:eastAsia="Times New Roman" w:hAnsi="GHEA Grapalat" w:cs="Cambria Math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1C747BC1" w14:textId="77777777" w:rsidR="001F1137" w:rsidRPr="008E2600" w:rsidRDefault="001F1137" w:rsidP="001F1137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մասնակցությանը վերաբերող օրենսդրության պահպանում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3BBC4932" w14:textId="77777777" w:rsidR="001F1137" w:rsidRPr="008E2600" w:rsidRDefault="001F1137" w:rsidP="001F1137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Հանրային մասնակցություն որոշումների կայացմանը և հանրային վերահսկողություն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4150D1D7" w14:textId="23CD194C" w:rsidR="001F1137" w:rsidRPr="008E2600" w:rsidRDefault="001F1137" w:rsidP="001F1137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ՏԻՄ-երի և համայնքա</w:t>
            </w:r>
            <w:r w:rsidR="008E2600"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>պետարանի</w:t>
            </w: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աշխատակազմի աշխատանքի թափանցիկություն/հաշվետվողականություն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548EF44E" w14:textId="77777777" w:rsidR="001F1137" w:rsidRPr="008E2600" w:rsidRDefault="001F1137" w:rsidP="001F1137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Կանանց/երիտասարդների/խոցելի խմբերի ներգրավում (ներառականություն)</w:t>
            </w:r>
            <w:r w:rsidRPr="008E2600">
              <w:rPr>
                <w:rFonts w:ascii="GHEA Grapalat" w:eastAsia="Times New Roman" w:hAnsi="GHEA Grapalat" w:cs="Cambria Math"/>
                <w:iCs/>
                <w:color w:val="000000" w:themeColor="text1"/>
                <w:sz w:val="24"/>
                <w:szCs w:val="24"/>
                <w:lang w:val="hy-AM"/>
              </w:rPr>
              <w:t>.</w:t>
            </w:r>
          </w:p>
          <w:p w14:paraId="0B3F2DF4" w14:textId="77777777" w:rsidR="001F1137" w:rsidRPr="008E2600" w:rsidRDefault="001F1137" w:rsidP="001F1137">
            <w:pPr>
              <w:numPr>
                <w:ilvl w:val="0"/>
                <w:numId w:val="7"/>
              </w:numPr>
              <w:shd w:val="clear" w:color="auto" w:fill="FFFFFF"/>
              <w:spacing w:after="0" w:line="276" w:lineRule="auto"/>
              <w:ind w:left="2147" w:hanging="1530"/>
              <w:jc w:val="both"/>
              <w:rPr>
                <w:rFonts w:ascii="GHEA Grapalat" w:eastAsia="Times New Roman" w:hAnsi="GHEA Grapalat" w:cs="Arial"/>
                <w:iCs/>
                <w:color w:val="000000" w:themeColor="text1"/>
                <w:spacing w:val="5"/>
                <w:sz w:val="24"/>
                <w:szCs w:val="24"/>
                <w:lang w:val="hy-AM"/>
              </w:rPr>
            </w:pPr>
            <w:r w:rsidRPr="008E2600">
              <w:rPr>
                <w:rFonts w:ascii="GHEA Grapalat" w:eastAsia="Times New Roman" w:hAnsi="GHEA Grapalat" w:cs="Arial"/>
                <w:iCs/>
                <w:color w:val="000000" w:themeColor="text1"/>
                <w:sz w:val="24"/>
                <w:szCs w:val="24"/>
                <w:lang w:val="hy-AM"/>
              </w:rPr>
              <w:t xml:space="preserve"> Հանրության հետ հաղորդակցության ապահովում և հանրության իրազեկում.</w:t>
            </w:r>
          </w:p>
          <w:p w14:paraId="11D2A669" w14:textId="77777777" w:rsidR="001F1137" w:rsidRPr="008E2600" w:rsidRDefault="001F1137" w:rsidP="008E2600">
            <w:pPr>
              <w:shd w:val="clear" w:color="auto" w:fill="FFFFFF"/>
              <w:spacing w:after="0" w:line="360" w:lineRule="auto"/>
              <w:ind w:left="617"/>
              <w:jc w:val="both"/>
              <w:rPr>
                <w:rStyle w:val="Emphasis"/>
                <w:rFonts w:ascii="GHEA Grapalat" w:eastAsia="Times New Roman" w:hAnsi="GHEA Grapalat" w:cs="Arial"/>
                <w:i w:val="0"/>
                <w:caps/>
                <w:color w:val="000000" w:themeColor="text1"/>
                <w:lang w:val="hy-AM"/>
              </w:rPr>
            </w:pPr>
          </w:p>
        </w:tc>
      </w:tr>
    </w:tbl>
    <w:p w14:paraId="0BAE59E0" w14:textId="77777777" w:rsidR="001F1137" w:rsidRPr="008E2600" w:rsidRDefault="001F1137" w:rsidP="001F1137">
      <w:pPr>
        <w:spacing w:after="0" w:line="276" w:lineRule="auto"/>
        <w:jc w:val="both"/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</w:pPr>
    </w:p>
    <w:p w14:paraId="3ABA9654" w14:textId="24302DCE" w:rsidR="001F1137" w:rsidRPr="001F1137" w:rsidRDefault="001F1137" w:rsidP="001F1137">
      <w:pPr>
        <w:pStyle w:val="NormalWeb"/>
        <w:spacing w:before="0" w:beforeAutospacing="0" w:after="0" w:afterAutospacing="0" w:line="276" w:lineRule="auto"/>
        <w:ind w:firstLine="356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     Հանձնաժողովը գնահատում է նաև տեղական ինքնակառավարման մարմիններում և համայնքի աշխատակազմում գոյություն ունեցող ներքին հսկողական համակարգերը (ավագանու որոշումներ, համայնքի ղեկավարի </w:t>
      </w:r>
      <w:r w:rsidR="008E2600">
        <w:rPr>
          <w:color w:val="000000" w:themeColor="text1"/>
          <w:lang w:val="hy-AM"/>
        </w:rPr>
        <w:t>կարգադրություն</w:t>
      </w:r>
      <w:r w:rsidRPr="001F1137">
        <w:rPr>
          <w:color w:val="000000" w:themeColor="text1"/>
          <w:lang w:val="hy-AM"/>
        </w:rPr>
        <w:t>ներ, կառուցակարգեր, կանոնակարգեր, կարգեր, ուղեցույցեր և այլն)։</w:t>
      </w:r>
    </w:p>
    <w:p w14:paraId="2325F7F3" w14:textId="65987DA3" w:rsidR="001F1137" w:rsidRPr="001F1137" w:rsidRDefault="001F1137" w:rsidP="001F1137">
      <w:pPr>
        <w:pStyle w:val="NormalWeb"/>
        <w:spacing w:before="0" w:beforeAutospacing="0" w:after="0" w:afterAutospacing="0" w:line="276" w:lineRule="auto"/>
        <w:ind w:firstLine="356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lastRenderedPageBreak/>
        <w:t xml:space="preserve">     Հանձնաժողովը առաջին հերթին գնահատում է համայնքային աշխատակազմի ֆինանսական կառավարման հսկողական համակարգերը, որոնք գործող օրենսդրությամբ և տեղական ինքնակառավարման մարմինների կողմից սահմանված կանոնների (քաղաքականության), ընթացակարգերի և գործողությունների ամբողջությունն </w:t>
      </w:r>
      <w:r w:rsidR="00B804B6">
        <w:rPr>
          <w:color w:val="000000" w:themeColor="text1"/>
          <w:lang w:val="hy-AM"/>
        </w:rPr>
        <w:t>են</w:t>
      </w:r>
      <w:r w:rsidRPr="001F1137">
        <w:rPr>
          <w:color w:val="000000" w:themeColor="text1"/>
          <w:lang w:val="hy-AM"/>
        </w:rPr>
        <w:t>, որով ողջամիտ ձևով երաշխավորվում է համապատասխան համայնքային աշխատակազմի գործառույթների իրականացումը։</w:t>
      </w:r>
    </w:p>
    <w:p w14:paraId="02A5DA2E" w14:textId="77777777" w:rsidR="001F1137" w:rsidRPr="001F1137" w:rsidRDefault="001F1137" w:rsidP="001F1137">
      <w:pPr>
        <w:pStyle w:val="NormalWeb"/>
        <w:spacing w:before="0" w:beforeAutospacing="0" w:after="0" w:afterAutospacing="0" w:line="276" w:lineRule="auto"/>
        <w:ind w:firstLine="356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      Հանձնաժողովի կողմից տ</w:t>
      </w:r>
      <w:r w:rsidRPr="001F1137">
        <w:rPr>
          <w:rFonts w:eastAsia="Calibri"/>
          <w:color w:val="000000" w:themeColor="text1"/>
          <w:lang w:val="hy-AM" w:bidi="en-US"/>
        </w:rPr>
        <w:t xml:space="preserve">եղական ինքնակառավարման մարմիններում և համայնքի աշխատակազմում </w:t>
      </w:r>
      <w:r w:rsidRPr="001F1137">
        <w:rPr>
          <w:rFonts w:cs="Sylfaen"/>
          <w:color w:val="000000" w:themeColor="text1"/>
          <w:lang w:val="hy-AM"/>
        </w:rPr>
        <w:t>կոռուպցիոն ռիսկերի գնահատումը հիմնվում է հետևյալ սկզբունքների վրա՝</w:t>
      </w:r>
    </w:p>
    <w:p w14:paraId="2FAFD354" w14:textId="77777777" w:rsidR="001F1137" w:rsidRPr="001F1137" w:rsidRDefault="001F1137" w:rsidP="00CA0962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>տ</w:t>
      </w:r>
      <w:r w:rsidRPr="001F1137">
        <w:rPr>
          <w:rFonts w:eastAsia="Calibri"/>
          <w:color w:val="000000" w:themeColor="text1"/>
          <w:lang w:val="hy-AM" w:bidi="en-US"/>
        </w:rPr>
        <w:t xml:space="preserve">եղական ինքնակառավարման մարմինների կողմից իրականացվող </w:t>
      </w:r>
      <w:r w:rsidRPr="001F1137">
        <w:rPr>
          <w:color w:val="000000" w:themeColor="text1"/>
          <w:lang w:val="hy-AM"/>
        </w:rPr>
        <w:t xml:space="preserve">հսկողություն, որն իրենից ներկայացնում է տեղական ինքնակառավարման մարմինների գործողություններ` ուղղված համայնքային աշխատակազմի կոռուպցիոն ռիսկերի կանխմանը կամ նվազեցմանը։ </w:t>
      </w:r>
    </w:p>
    <w:p w14:paraId="074B1556" w14:textId="77777777" w:rsidR="001F1137" w:rsidRPr="001F1137" w:rsidRDefault="001F1137" w:rsidP="00CA0962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կոռուպցիոն ռիսկերի գնահատման անկախություն` կոռուպցիոն ռիսկերի գնահատման գործառույթի` համայնքային աշխատակազմի այլ գործառույթներից առանձնացված իրականացում. </w:t>
      </w:r>
    </w:p>
    <w:p w14:paraId="667E4A39" w14:textId="77777777" w:rsidR="001F1137" w:rsidRPr="001F1137" w:rsidRDefault="001F1137" w:rsidP="00CA0962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>կոռուպցիոն ռիսկերի գնահատման օբյեկտիվություն` հանձնախմբի կողմից կոռուպցիոն ռիսկերի գնահատման ընթացքում տեղեկությունների հավաքագրման, գնահատման և փոխանակման գործընթացում՝ մասնագիտական անվերապահ անշահախնդրության ցուցաբերում</w:t>
      </w:r>
      <w:r w:rsidRPr="001F1137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</w:p>
    <w:p w14:paraId="15F25F93" w14:textId="77777777" w:rsidR="001F1137" w:rsidRPr="001F1137" w:rsidRDefault="001F1137" w:rsidP="00CA0962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հանձնախմբի անդամների ազնվություն՝ հանձնախմբի անդամների կողմից՝ կոռուպցիոն ռիսկերի առաջացման բոլոր հանգամանքների հավասարակշռված և համարժեք գնահատում, չենթարկվելով սեփական հետաքրքրությունների կամ այլ անձանց դատողությունների անհարկի ազդեցությանը. </w:t>
      </w:r>
    </w:p>
    <w:p w14:paraId="0E494F57" w14:textId="77777777" w:rsidR="001F1137" w:rsidRPr="001F1137" w:rsidRDefault="001F1137" w:rsidP="00CA0962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կոռուպցիոն ռիսկերի գնահատման կարողունակություն` հանձնախմբի կողմից համապատասխան գիտելիքների, հմտությունների, փորձառության և գնահատման գործողությունները կատարելու համար՝ անհրաժեշտ կարողությունների տիրապետում և կիրառում. </w:t>
      </w:r>
    </w:p>
    <w:p w14:paraId="2D757447" w14:textId="77777777" w:rsidR="001F1137" w:rsidRPr="001F1137" w:rsidRDefault="001F1137" w:rsidP="00CA0962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կոռուպցիոն ռիսկերի գնահատման անկողմնակալություն` հանձնախմբի կողմից կոռուպցիոն ռիսկերի գնահատման աշխատանքի ազնիվ և պատասխանատու իրականացում. </w:t>
      </w:r>
    </w:p>
    <w:p w14:paraId="0DFAA010" w14:textId="77777777" w:rsidR="001F1137" w:rsidRPr="001F1137" w:rsidRDefault="001F1137" w:rsidP="00CA0962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կոռուպցիոն ռիսկերի գնահատման գաղտնիություն` հանձնախմբի աշխատանքի ընթացքում ստացած տեղեկությունների հուսալի պահպանում, մասնավորապես՝ հանձնախմբի անդամները պարտավոր են առանց համապատասխան լիազորության՝ չհրապարակել և չտրամադրել գործունեության ընթացքում կամ արդյունքում իրենց հայտնի դարձած տեղեկությունները, բացառությամբ օրենսդրությամբ նախատեսված դեպքերի. </w:t>
      </w:r>
    </w:p>
    <w:p w14:paraId="62DB383D" w14:textId="77777777" w:rsidR="001F1137" w:rsidRPr="001F1137" w:rsidRDefault="001F1137" w:rsidP="00CA0962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 xml:space="preserve">հանձնախմբի անդամների վարքագծի կանոններ` համայնքային ծառայողների վարքագրքի հիման վրա հաստատված հանձնախմբի </w:t>
      </w:r>
      <w:r w:rsidRPr="001F1137">
        <w:rPr>
          <w:color w:val="000000" w:themeColor="text1"/>
          <w:lang w:val="hy-AM"/>
        </w:rPr>
        <w:lastRenderedPageBreak/>
        <w:t xml:space="preserve">անդամների վարքագծի կանոններ, որոնք տարածվում են ինչպես հանձնախմբի անդամ՝ տեղական իքնակառավարման մարմինների և համայնքային աշխատակազմի ներկայացուցիչների, այնպես էլ հրավիրյալ անձանց վրա. </w:t>
      </w:r>
    </w:p>
    <w:p w14:paraId="0F095F5E" w14:textId="1825FC86" w:rsidR="001F1137" w:rsidRPr="001F1137" w:rsidRDefault="001F1137" w:rsidP="00CA0962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>կոռուպցիոն ռիսկերի գնահատման կանոնակարգ` համայնքի ղեկավարի ներկայացմամբ ավագանու հետ համաձայնեցված փաստաթուղթ, որով սահմանվում են կոռուպցիոն ռիսկերի գնահատման նպատակը, հանձնախմբի լիազորությունները և պարտականությունները, կոռուպցիոն ռիսկերի գնահատման շրջանակը, հանձնախմբի կողմից կոռուպցիոն ռիսկերի գնահատման նպատակով անհրաժեշտ փաստաթղթերի, աշխատանքային պայմանների և գույքի հետ կապված հարցերը</w:t>
      </w:r>
      <w:r w:rsidR="00375862">
        <w:rPr>
          <w:rFonts w:ascii="Cambria Math" w:hAnsi="Cambria Math"/>
          <w:color w:val="000000" w:themeColor="text1"/>
          <w:lang w:val="hy-AM"/>
        </w:rPr>
        <w:t>․</w:t>
      </w:r>
    </w:p>
    <w:p w14:paraId="759C5F81" w14:textId="77777777" w:rsidR="001F1137" w:rsidRPr="001F1137" w:rsidRDefault="001F1137" w:rsidP="00CA0962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>կոռուպցիոն ռիսկերի գնահատման առաջադրանք` կոռուպցիոն ռիսկերի գնահատման կանոնակարգի հիման վրա կոնկրետ կոռուպցիոն ռիսկի գնահատման առաջադրանքի կամ ուսումնասիրության իրականացում։</w:t>
      </w:r>
    </w:p>
    <w:p w14:paraId="09196680" w14:textId="08EFFBB3" w:rsidR="00EC1A42" w:rsidRPr="004137D7" w:rsidRDefault="00EC1A42" w:rsidP="001F1137">
      <w:pPr>
        <w:pStyle w:val="NormalWeb"/>
        <w:spacing w:before="0" w:beforeAutospacing="0" w:after="0" w:afterAutospacing="0" w:line="276" w:lineRule="auto"/>
        <w:ind w:firstLine="720"/>
        <w:jc w:val="both"/>
        <w:rPr>
          <w:iCs/>
          <w:color w:val="000000" w:themeColor="text1"/>
          <w:lang w:val="hy-AM"/>
        </w:rPr>
      </w:pPr>
      <w:r w:rsidRPr="004137D7">
        <w:rPr>
          <w:rFonts w:eastAsia="Calibri"/>
          <w:iCs/>
          <w:color w:val="000000" w:themeColor="text1"/>
          <w:lang w:val="hy-AM" w:eastAsia="en-US"/>
        </w:rPr>
        <w:t>Տեղական ինքնակառավարման մարմիններում և համայնքապետարանի  աշխատակազմում կոռուպցիոն ռիսկերի ինքնագնահատման արդյունքներին կից՝  և կամայական ձևաչափով, կարող են ներկայացվել տեղեկանքներ, բացատրագրեր, հիմնավորումներ և նմանօրինակ այլ փաստաթղթեր</w:t>
      </w:r>
      <w:r w:rsidR="004137D7">
        <w:rPr>
          <w:rFonts w:eastAsia="Calibri"/>
          <w:iCs/>
          <w:color w:val="000000" w:themeColor="text1"/>
          <w:lang w:val="hy-AM" w:eastAsia="en-US"/>
        </w:rPr>
        <w:t>։</w:t>
      </w:r>
    </w:p>
    <w:p w14:paraId="6ACF1318" w14:textId="7AD13139" w:rsidR="001F1137" w:rsidRPr="00BA3118" w:rsidRDefault="001F1137" w:rsidP="001F1137">
      <w:pPr>
        <w:pStyle w:val="NormalWeb"/>
        <w:spacing w:before="0" w:beforeAutospacing="0" w:after="0" w:afterAutospacing="0" w:line="276" w:lineRule="auto"/>
        <w:ind w:firstLine="720"/>
        <w:jc w:val="both"/>
        <w:rPr>
          <w:rFonts w:ascii="Cambria Math" w:hAnsi="Cambria Math"/>
          <w:color w:val="000000" w:themeColor="text1"/>
          <w:lang w:val="hy-AM"/>
        </w:rPr>
      </w:pPr>
      <w:r w:rsidRPr="001F1137">
        <w:rPr>
          <w:color w:val="000000" w:themeColor="text1"/>
          <w:lang w:val="hy-AM"/>
        </w:rPr>
        <w:t>Հանձնաժողովը տ</w:t>
      </w:r>
      <w:r w:rsidRPr="001F1137">
        <w:rPr>
          <w:rFonts w:eastAsia="Calibri"/>
          <w:color w:val="000000" w:themeColor="text1"/>
          <w:lang w:val="hy-AM" w:bidi="en-US"/>
        </w:rPr>
        <w:t xml:space="preserve">եղական ինքնակառավարման մարմիններում և համայնքի աշխատակազմում </w:t>
      </w:r>
      <w:r w:rsidRPr="001F1137">
        <w:rPr>
          <w:rFonts w:cs="Sylfaen"/>
          <w:color w:val="000000" w:themeColor="text1"/>
          <w:lang w:val="hy-AM"/>
        </w:rPr>
        <w:t xml:space="preserve">կոռուպցիոն ռիսկերի գնահատման </w:t>
      </w:r>
      <w:r w:rsidRPr="001F1137">
        <w:rPr>
          <w:rFonts w:eastAsia="Calibri"/>
          <w:color w:val="000000" w:themeColor="text1"/>
          <w:lang w:val="hy-AM" w:bidi="en-US"/>
        </w:rPr>
        <w:t xml:space="preserve">արդյունքում ստացված </w:t>
      </w:r>
      <w:r w:rsidRPr="001F1137">
        <w:rPr>
          <w:rFonts w:cs="Sylfaen"/>
          <w:color w:val="000000" w:themeColor="text1"/>
          <w:lang w:val="hy-AM"/>
        </w:rPr>
        <w:t>կոռուպցիոն վարկանիշի</w:t>
      </w:r>
      <w:r w:rsidR="004137D7">
        <w:rPr>
          <w:rFonts w:cs="Sylfaen"/>
          <w:color w:val="000000" w:themeColor="text1"/>
          <w:lang w:val="hy-AM"/>
        </w:rPr>
        <w:t xml:space="preserve"> / ռիսկային, զգայուն, միջին, լավ, գերազանց/ </w:t>
      </w:r>
      <w:r w:rsidRPr="001F1137">
        <w:rPr>
          <w:rFonts w:cs="Sylfaen"/>
          <w:color w:val="000000" w:themeColor="text1"/>
          <w:lang w:val="hy-AM"/>
        </w:rPr>
        <w:t xml:space="preserve"> բարելավման գործողությունների ծրագիր</w:t>
      </w:r>
      <w:r w:rsidRPr="001F1137">
        <w:rPr>
          <w:rFonts w:cs="Cambria Math"/>
          <w:color w:val="000000" w:themeColor="text1"/>
          <w:lang w:val="hy-AM"/>
        </w:rPr>
        <w:t>ը իրականացնում է</w:t>
      </w:r>
      <w:r w:rsidR="00BA3118">
        <w:rPr>
          <w:rFonts w:cs="Cambria Math"/>
          <w:color w:val="000000" w:themeColor="text1"/>
          <w:lang w:val="hy-AM"/>
        </w:rPr>
        <w:t xml:space="preserve"> </w:t>
      </w:r>
      <w:r w:rsidR="00BA3118">
        <w:rPr>
          <w:rFonts w:ascii="Cambria Math" w:hAnsi="Cambria Math" w:cs="Cambria Math"/>
          <w:color w:val="000000" w:themeColor="text1"/>
          <w:lang w:val="hy-AM"/>
        </w:rPr>
        <w:t>․</w:t>
      </w:r>
    </w:p>
    <w:p w14:paraId="251C6D91" w14:textId="5C9A66E3" w:rsidR="001F1137" w:rsidRPr="001F1137" w:rsidRDefault="001F1137" w:rsidP="001F1137">
      <w:pPr>
        <w:pStyle w:val="ListParagraph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1. ստացված կոռուպցիոն վարկանիշի բարելավման գծով գործողությունների ծրագրի սահմանման համար հիմք </w:t>
      </w:r>
      <w:r w:rsidR="004137D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ընդունելով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յուրաքանչյուր ցուցանիշի և հետևաբար կատեգորիայի գծով ստացված միավորները։</w:t>
      </w:r>
    </w:p>
    <w:p w14:paraId="4EA4123E" w14:textId="2CDC2726" w:rsidR="001F1137" w:rsidRPr="001F1137" w:rsidRDefault="001F1137" w:rsidP="001F1137">
      <w:pPr>
        <w:pStyle w:val="ListParagraph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2. Տեղական ինքնակառավարման մարմիններում և համայնքի աշխատակազմում կոռուպցիոն ռիսկերի գնահատման արդյունքում ստացված կոռուպցիոն վարկանիշի բարելավման գծով գործողությունների ծրագրում՝ յուրաքանչյուր ցուցանիշի համար հանձնախմբի կողմից միջոցառումներ</w:t>
      </w:r>
      <w:r w:rsidR="005B0552" w:rsidRPr="005B055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5B0552"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սահման</w:t>
      </w:r>
      <w:r w:rsidR="005B055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ելով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: </w:t>
      </w:r>
    </w:p>
    <w:p w14:paraId="075CA1B4" w14:textId="77777777" w:rsidR="001F1137" w:rsidRPr="001F1137" w:rsidRDefault="001F1137" w:rsidP="001F1137">
      <w:pPr>
        <w:pStyle w:val="ListParagraph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3. Յուրաքանչյուր ցուցանիշի համար կարող է սահմանվել մեկ կամ մի քանի միջոցառում, իսկ յուրաքանչյուր միջոցառման իրագործման համար վերջնաժամկետ, միջոցառումների իրագործման համար անհրաժեշտ ֆինանսական միջոցներ և յուրաքանչյուր միջոցառման համար պատասխանատու։ </w:t>
      </w:r>
    </w:p>
    <w:p w14:paraId="07B42D51" w14:textId="55292F3F" w:rsidR="001F1137" w:rsidRPr="001F1137" w:rsidRDefault="001F1137" w:rsidP="001F1137">
      <w:pPr>
        <w:pStyle w:val="ListParagraph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Հանձնաժողովի աշխատանքի հիմքերից է համայնքում տ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եղական ինքնակառավարման մարմիններում և համայնքի աշխատակազմում կոռուպցիոն ռիսկերի վերաբերյալ ազդարարման ներքին համակարգի ստեղծումը</w:t>
      </w:r>
      <w:r w:rsidR="00BA3118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>,</w:t>
      </w:r>
      <w:r w:rsidRPr="001F1137">
        <w:rPr>
          <w:rFonts w:ascii="GHEA Grapalat" w:eastAsia="Calibri" w:hAnsi="GHEA Grapalat"/>
          <w:color w:val="000000" w:themeColor="text1"/>
          <w:sz w:val="24"/>
          <w:szCs w:val="24"/>
          <w:lang w:val="hy-AM" w:bidi="en-US"/>
        </w:rPr>
        <w:t xml:space="preserve"> անխափան աշխատանքի ապահովումը:</w:t>
      </w:r>
    </w:p>
    <w:p w14:paraId="263B3560" w14:textId="0C632708" w:rsidR="001F1137" w:rsidRPr="001F1137" w:rsidRDefault="001F1137" w:rsidP="001F1137">
      <w:pPr>
        <w:pStyle w:val="ListParagraph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Տեղական ինքնակառավարման մարմիններում և համայնքի աշխատակազմում կոռուպցիոն ռիսկերի դրսևորումների և դեպքերի ազդարարման համակարգն իրենից ներկայացնում է՝ կոռուպցիոն ռիսկերի դրսևորումների և դեպքերի տեղեկատվության գաղտնի ստացման, տեղեկատվության պահպանման, վերլուծության և վերլուծության հիման վրա որոշումների կայացման համակարգ։ </w:t>
      </w:r>
    </w:p>
    <w:p w14:paraId="487B5926" w14:textId="2ACCA1C9" w:rsidR="001F1137" w:rsidRPr="001F1137" w:rsidRDefault="001F1137" w:rsidP="001F1137">
      <w:pPr>
        <w:pStyle w:val="ListParagraph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Տեղական ինքնակառավարման մարմիններում և համայնքի աշխատակազմում կոռուպցիոն ռիսկերի դրսևորումների և դեպքերի ազդարարման համակարգում ստացված ցանկացած ազդակ՝ առանց բացառության, պետք է քննարկվի հանձնախմբի կողմից՝ որոշելու այդ տեղեկատվության հետագա կիրառումը։ Այն դեպքերը, որոնք կարող են պարունակել քրեորեն պատժելի արարքներ կամ վարքագիծ կամ գործողություններ՝ անվերապահորեն պետք է պաշտոնապես տրամադրվեն համապատասխան իրավապահ մարմիններին։</w:t>
      </w:r>
    </w:p>
    <w:p w14:paraId="12E981EB" w14:textId="5C72A732" w:rsidR="001F1137" w:rsidRPr="001F1137" w:rsidRDefault="001F1137" w:rsidP="001F1137">
      <w:pPr>
        <w:pStyle w:val="ListParagraph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Կոռուպցիոն ռիսկերի դրսևորումների և դեպքերի տեղեկատվության գաղտնի ստացման նպատակով՝ տեղական ինքնակառավարման մարմինները սահմանում են տեղեկությունների ստացման գործիքակազմը, մասնավորաբար՝ վեբ-կայքում համապատասխան հարթակ և (կամ) էլեկտրոնային փ</w:t>
      </w:r>
      <w:r w:rsidR="00375862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ո</w:t>
      </w: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ստի հասցե և (կամ) թեժ գիծ։</w:t>
      </w:r>
    </w:p>
    <w:p w14:paraId="2329C53A" w14:textId="06F66ED0" w:rsidR="001F1137" w:rsidRPr="001F1137" w:rsidRDefault="001F1137" w:rsidP="001F1137">
      <w:pPr>
        <w:pStyle w:val="ListParagraph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1F11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Տեղական ինքնակառավարման մարմինները երաշխավորում են կոռուպցիոն ռիսկերի դրսևորումները և դեպքերը ազդարարողների գաղտնիությունը։</w:t>
      </w:r>
    </w:p>
    <w:p w14:paraId="14800609" w14:textId="77777777" w:rsidR="001F1137" w:rsidRPr="001F1137" w:rsidRDefault="001F1137" w:rsidP="001F1137">
      <w:pPr>
        <w:pStyle w:val="ListParagraph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</w:p>
    <w:p w14:paraId="0E743115" w14:textId="77777777" w:rsidR="001F1137" w:rsidRPr="001F1137" w:rsidRDefault="001F1137" w:rsidP="001F1137">
      <w:pPr>
        <w:pStyle w:val="ListParagraph"/>
        <w:shd w:val="clear" w:color="auto" w:fill="FFFFFF"/>
        <w:spacing w:after="0"/>
        <w:ind w:left="0" w:firstLine="356"/>
        <w:jc w:val="both"/>
        <w:rPr>
          <w:rFonts w:ascii="GHEA Grapalat" w:hAnsi="GHEA Grapalat" w:cs="Sylfaen"/>
          <w:color w:val="000000" w:themeColor="text1"/>
          <w:sz w:val="20"/>
          <w:szCs w:val="20"/>
          <w:lang w:val="hy-AM"/>
        </w:rPr>
      </w:pPr>
    </w:p>
    <w:p w14:paraId="7C7B53F1" w14:textId="77777777" w:rsidR="001F1137" w:rsidRPr="001F1137" w:rsidRDefault="001F1137" w:rsidP="001F1137">
      <w:pPr>
        <w:spacing w:after="0" w:line="276" w:lineRule="auto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14:paraId="22502F2D" w14:textId="77777777" w:rsidR="001F1137" w:rsidRPr="001F1137" w:rsidRDefault="001F1137" w:rsidP="001F1137">
      <w:pPr>
        <w:tabs>
          <w:tab w:val="left" w:pos="270"/>
        </w:tabs>
        <w:spacing w:after="0" w:line="276" w:lineRule="auto"/>
        <w:ind w:right="-86"/>
        <w:jc w:val="both"/>
        <w:rPr>
          <w:rStyle w:val="Emphasis"/>
          <w:rFonts w:ascii="GHEA Grapalat" w:eastAsia="Times New Roman" w:hAnsi="GHEA Grapalat"/>
          <w:color w:val="000000" w:themeColor="text1"/>
          <w:lang w:val="hy-AM"/>
        </w:rPr>
      </w:pPr>
      <w:r w:rsidRPr="001F1137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</w:t>
      </w:r>
    </w:p>
    <w:p w14:paraId="792E971A" w14:textId="77777777" w:rsidR="000661B4" w:rsidRPr="00A95399" w:rsidRDefault="000661B4">
      <w:pPr>
        <w:rPr>
          <w:rFonts w:ascii="GHEA Grapalat" w:hAnsi="GHEA Grapalat"/>
          <w:color w:val="000000" w:themeColor="text1"/>
          <w:lang w:val="hy-AM"/>
        </w:rPr>
      </w:pPr>
    </w:p>
    <w:sectPr w:rsidR="000661B4" w:rsidRPr="00A95399" w:rsidSect="00D041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49E4"/>
    <w:multiLevelType w:val="multilevel"/>
    <w:tmpl w:val="596A8BD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Ցուցանիշ 2․%4"/>
      <w:lvlJc w:val="left"/>
      <w:pPr>
        <w:ind w:left="1352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18D0B84"/>
    <w:multiLevelType w:val="hybridMultilevel"/>
    <w:tmpl w:val="CF06B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41C6"/>
    <w:multiLevelType w:val="multilevel"/>
    <w:tmpl w:val="A858DB9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Ցուցանիշ 1․%3"/>
      <w:lvlJc w:val="left"/>
      <w:pPr>
        <w:ind w:left="108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AD957B9"/>
    <w:multiLevelType w:val="multilevel"/>
    <w:tmpl w:val="9C0A9C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560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8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34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2160"/>
      </w:pPr>
      <w:rPr>
        <w:rFonts w:hint="default"/>
      </w:rPr>
    </w:lvl>
  </w:abstractNum>
  <w:abstractNum w:abstractNumId="4" w15:restartNumberingAfterBreak="0">
    <w:nsid w:val="3DEB1133"/>
    <w:multiLevelType w:val="multilevel"/>
    <w:tmpl w:val="C2968944"/>
    <w:lvl w:ilvl="0">
      <w:start w:val="1"/>
      <w:numFmt w:val="decimal"/>
      <w:lvlText w:val="Ցուցանիշ 3․%1"/>
      <w:lvlJc w:val="left"/>
      <w:pPr>
        <w:ind w:left="207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0" w:hanging="180"/>
      </w:pPr>
      <w:rPr>
        <w:rFonts w:hint="default"/>
      </w:rPr>
    </w:lvl>
  </w:abstractNum>
  <w:abstractNum w:abstractNumId="5" w15:restartNumberingAfterBreak="0">
    <w:nsid w:val="51BE36F5"/>
    <w:multiLevelType w:val="hybridMultilevel"/>
    <w:tmpl w:val="1C36A0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B4C0020"/>
    <w:multiLevelType w:val="multilevel"/>
    <w:tmpl w:val="7EB8C6B8"/>
    <w:lvl w:ilvl="0">
      <w:start w:val="1"/>
      <w:numFmt w:val="decimal"/>
      <w:lvlText w:val="Ցուցանիշ 4․%1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A752A3A"/>
    <w:multiLevelType w:val="hybridMultilevel"/>
    <w:tmpl w:val="3E7A22DE"/>
    <w:lvl w:ilvl="0" w:tplc="04090011">
      <w:start w:val="1"/>
      <w:numFmt w:val="decimal"/>
      <w:lvlText w:val="%1)"/>
      <w:lvlJc w:val="left"/>
      <w:pPr>
        <w:ind w:left="1354" w:hanging="360"/>
      </w:p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8" w15:restartNumberingAfterBreak="0">
    <w:nsid w:val="7ADB785A"/>
    <w:multiLevelType w:val="hybridMultilevel"/>
    <w:tmpl w:val="041620AA"/>
    <w:lvl w:ilvl="0" w:tplc="312E2ED8">
      <w:start w:val="1"/>
      <w:numFmt w:val="decimal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58"/>
    <w:rsid w:val="000661B4"/>
    <w:rsid w:val="001169D6"/>
    <w:rsid w:val="001E21EF"/>
    <w:rsid w:val="001F0EE7"/>
    <w:rsid w:val="001F1137"/>
    <w:rsid w:val="00364F27"/>
    <w:rsid w:val="00375862"/>
    <w:rsid w:val="004137D7"/>
    <w:rsid w:val="004172F8"/>
    <w:rsid w:val="005B0552"/>
    <w:rsid w:val="0060036D"/>
    <w:rsid w:val="00696052"/>
    <w:rsid w:val="006A2D10"/>
    <w:rsid w:val="008649B9"/>
    <w:rsid w:val="008E2600"/>
    <w:rsid w:val="00965DE1"/>
    <w:rsid w:val="00A1789E"/>
    <w:rsid w:val="00A24770"/>
    <w:rsid w:val="00A95399"/>
    <w:rsid w:val="00AB4516"/>
    <w:rsid w:val="00AC777F"/>
    <w:rsid w:val="00B804B6"/>
    <w:rsid w:val="00BA3118"/>
    <w:rsid w:val="00BB4EEF"/>
    <w:rsid w:val="00C45258"/>
    <w:rsid w:val="00CA0962"/>
    <w:rsid w:val="00D041F3"/>
    <w:rsid w:val="00D52835"/>
    <w:rsid w:val="00E9369F"/>
    <w:rsid w:val="00EC1A42"/>
    <w:rsid w:val="00E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8B04"/>
  <w15:docId w15:val="{BED8B313-42A1-4620-98C3-EE3F3B49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1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rsid w:val="001F113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Emphasis">
    <w:name w:val="Emphasis"/>
    <w:basedOn w:val="DefaultParagraphFont"/>
    <w:qFormat/>
    <w:rsid w:val="001F1137"/>
    <w:rPr>
      <w:i/>
      <w:iCs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1F1137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ListParagraph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Normal"/>
    <w:link w:val="ListParagraphChar"/>
    <w:uiPriority w:val="34"/>
    <w:qFormat/>
    <w:rsid w:val="001F1137"/>
    <w:pPr>
      <w:ind w:left="720"/>
      <w:contextualSpacing/>
    </w:p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,Bull Char"/>
    <w:link w:val="ListParagraph"/>
    <w:uiPriority w:val="34"/>
    <w:locked/>
    <w:rsid w:val="001F1137"/>
    <w:rPr>
      <w:rFonts w:eastAsiaTheme="minorEastAsia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36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2</cp:revision>
  <cp:lastPrinted>2025-02-27T11:14:00Z</cp:lastPrinted>
  <dcterms:created xsi:type="dcterms:W3CDTF">2025-04-04T08:19:00Z</dcterms:created>
  <dcterms:modified xsi:type="dcterms:W3CDTF">2025-04-04T08:19:00Z</dcterms:modified>
</cp:coreProperties>
</file>