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-2</w:t>
      </w:r>
      <w:r w:rsidR="008A32A7" w:rsidRPr="008A32A7">
        <w:rPr>
          <w:rFonts w:ascii="Sylfaen" w:eastAsia="Times New Roman" w:hAnsi="Sylfaen" w:cs="Sylfaen"/>
          <w:b/>
          <w:sz w:val="20"/>
          <w:szCs w:val="20"/>
          <w:lang w:val="af-ZA"/>
        </w:rPr>
        <w:t>4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/</w:t>
      </w:r>
      <w:r w:rsidR="007D5CAF">
        <w:rPr>
          <w:rFonts w:ascii="Sylfaen" w:eastAsia="Times New Roman" w:hAnsi="Sylfaen" w:cs="Sylfaen"/>
          <w:b/>
          <w:sz w:val="20"/>
          <w:szCs w:val="20"/>
          <w:lang w:val="hy-AM"/>
        </w:rPr>
        <w:t>1</w:t>
      </w:r>
      <w:r w:rsidR="00A82139">
        <w:rPr>
          <w:rFonts w:ascii="Sylfaen" w:eastAsia="Times New Roman" w:hAnsi="Sylfaen" w:cs="Sylfaen"/>
          <w:b/>
          <w:sz w:val="20"/>
          <w:szCs w:val="20"/>
          <w:lang w:val="hy-AM"/>
        </w:rPr>
        <w:t>2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ծածկագրով գնման ընթացակարգի արդյունքում կնքված պայմանագր</w:t>
      </w:r>
      <w:r w:rsidR="00C63814" w:rsidRPr="007B0286">
        <w:rPr>
          <w:rFonts w:ascii="Sylfaen" w:eastAsia="Times New Roman" w:hAnsi="Sylfaen" w:cs="Sylfaen"/>
          <w:sz w:val="20"/>
          <w:szCs w:val="20"/>
          <w:lang w:val="hy-AM"/>
        </w:rPr>
        <w:t>եր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27"/>
        <w:gridCol w:w="14"/>
        <w:gridCol w:w="6"/>
        <w:gridCol w:w="290"/>
        <w:gridCol w:w="973"/>
        <w:gridCol w:w="1135"/>
        <w:gridCol w:w="12"/>
        <w:gridCol w:w="142"/>
        <w:gridCol w:w="148"/>
        <w:gridCol w:w="549"/>
        <w:gridCol w:w="1133"/>
        <w:gridCol w:w="10"/>
        <w:gridCol w:w="257"/>
        <w:gridCol w:w="177"/>
        <w:gridCol w:w="412"/>
        <w:gridCol w:w="577"/>
        <w:gridCol w:w="561"/>
        <w:gridCol w:w="145"/>
        <w:gridCol w:w="283"/>
        <w:gridCol w:w="491"/>
        <w:gridCol w:w="502"/>
        <w:gridCol w:w="270"/>
        <w:gridCol w:w="158"/>
        <w:gridCol w:w="142"/>
        <w:gridCol w:w="705"/>
        <w:gridCol w:w="47"/>
        <w:gridCol w:w="153"/>
        <w:gridCol w:w="873"/>
        <w:gridCol w:w="60"/>
        <w:gridCol w:w="997"/>
        <w:gridCol w:w="1131"/>
        <w:gridCol w:w="2258"/>
        <w:gridCol w:w="16"/>
      </w:tblGrid>
      <w:tr w:rsidR="007B0286" w:rsidRPr="007B0286" w:rsidTr="007A3849">
        <w:trPr>
          <w:trHeight w:val="148"/>
        </w:trPr>
        <w:tc>
          <w:tcPr>
            <w:tcW w:w="706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4" w:type="dxa"/>
            <w:gridSpan w:val="33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7A3849">
        <w:trPr>
          <w:gridAfter w:val="1"/>
          <w:wAfter w:w="16" w:type="dxa"/>
          <w:trHeight w:val="1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9" w:type="dxa"/>
            <w:gridSpan w:val="8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5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7A3849">
        <w:trPr>
          <w:gridAfter w:val="1"/>
          <w:wAfter w:w="16" w:type="dxa"/>
          <w:trHeight w:val="175"/>
        </w:trPr>
        <w:tc>
          <w:tcPr>
            <w:tcW w:w="706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8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 xml:space="preserve">/ՀՀ </w:t>
            </w:r>
            <w:proofErr w:type="spellStart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դրամ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073D83">
        <w:trPr>
          <w:gridAfter w:val="1"/>
          <w:wAfter w:w="16" w:type="dxa"/>
          <w:trHeight w:val="60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9C1F08" w:rsidRPr="001B766A" w:rsidTr="009C1F08">
        <w:trPr>
          <w:gridAfter w:val="1"/>
          <w:wAfter w:w="16" w:type="dxa"/>
          <w:trHeight w:val="742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փոսային նորոգման  աշխատանքների  որակի  տեխնիկական հսկողության 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Calibri"/>
                <w:sz w:val="16"/>
                <w:szCs w:val="16"/>
                <w:lang w:val="hy-AM"/>
              </w:rPr>
              <w:t>2 473 300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Calibri"/>
                <w:sz w:val="16"/>
                <w:szCs w:val="16"/>
                <w:lang w:val="hy-AM"/>
              </w:rPr>
              <w:t>2 473 300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փոսային նորոգման  աշխատանքների  որակի 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փոսային նորոգման  աշխատանքների  որակի  տեխնիկական հսկողության խորհրդատվություն</w:t>
            </w:r>
          </w:p>
        </w:tc>
      </w:tr>
      <w:tr w:rsidR="009C1F08" w:rsidRPr="001B766A" w:rsidTr="00C9472B">
        <w:trPr>
          <w:gridAfter w:val="1"/>
          <w:wAfter w:w="16" w:type="dxa"/>
          <w:trHeight w:val="257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ճաքերի մշակման աշխատանքների  որակի  տեխնիկական հսկողության 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9C1F08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Calibri"/>
                <w:sz w:val="16"/>
                <w:szCs w:val="16"/>
                <w:lang w:val="hy-AM"/>
              </w:rPr>
              <w:t>404 004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Calibri"/>
                <w:sz w:val="16"/>
                <w:szCs w:val="16"/>
                <w:lang w:val="hy-AM"/>
              </w:rPr>
              <w:t>404 004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ճաքերի մշակման աշխատանքների  որակի 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F08" w:rsidRPr="009C1F08" w:rsidRDefault="009C1F08" w:rsidP="003604D3">
            <w:pPr>
              <w:spacing w:after="0" w:line="0" w:lineRule="atLeast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C1F08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փողոցների ճաքերի մշակման աշխատանքների  որակի  տեխնիկական հսկողության խորհրդատվություն</w:t>
            </w:r>
          </w:p>
        </w:tc>
      </w:tr>
      <w:tr w:rsidR="00A82139" w:rsidRPr="001B766A" w:rsidTr="008129FC">
        <w:trPr>
          <w:trHeight w:val="169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A82139" w:rsidRPr="007B0286" w:rsidTr="007A3849">
        <w:trPr>
          <w:trHeight w:val="137"/>
        </w:trPr>
        <w:tc>
          <w:tcPr>
            <w:tcW w:w="59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A82139" w:rsidRPr="007B0286" w:rsidTr="008129FC">
        <w:trPr>
          <w:trHeight w:val="196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2024թ.</w:t>
            </w:r>
            <w:r w:rsidR="009C1F08"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 Հունիսի 17-ին</w:t>
            </w: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A82139" w:rsidRPr="009F76EB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211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A82139" w:rsidRPr="009F76EB" w:rsidTr="00073D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158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A82139" w:rsidRPr="007B0286" w:rsidTr="004E5E80">
        <w:trPr>
          <w:trHeight w:val="54"/>
        </w:trPr>
        <w:tc>
          <w:tcPr>
            <w:tcW w:w="16160" w:type="dxa"/>
            <w:gridSpan w:val="34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A82139" w:rsidRPr="007B0286" w:rsidTr="007A3849">
        <w:trPr>
          <w:trHeight w:val="96"/>
        </w:trPr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4412" w:type="dxa"/>
            <w:gridSpan w:val="11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1"/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footnoteReference w:id="5"/>
            </w:r>
          </w:p>
        </w:tc>
      </w:tr>
      <w:tr w:rsidR="00A82139" w:rsidRPr="007B0286" w:rsidTr="007A3849">
        <w:trPr>
          <w:trHeight w:val="197"/>
        </w:trPr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11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Գինն առանց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A82139" w:rsidRPr="007B0286" w:rsidTr="00E50603">
        <w:trPr>
          <w:trHeight w:val="60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Չափաբաժին 1</w:t>
            </w:r>
          </w:p>
        </w:tc>
      </w:tr>
      <w:tr w:rsidR="00536CEB" w:rsidRPr="007B0286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11"/>
            <w:shd w:val="clear" w:color="auto" w:fill="auto"/>
            <w:vAlign w:val="center"/>
          </w:tcPr>
          <w:p w:rsidR="00536CEB" w:rsidRPr="00BA6282" w:rsidRDefault="00536CEB" w:rsidP="00536CEB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&lt;&lt;ԲՈՒԼԳԱՐՈ&gt;&gt; ՍՊԸ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699 000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536CEB" w:rsidRPr="00A7331E" w:rsidRDefault="00536CEB" w:rsidP="00536CEB">
            <w:pPr>
              <w:pStyle w:val="a6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536CEB" w:rsidRPr="00A7331E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699 000</w:t>
            </w:r>
          </w:p>
        </w:tc>
      </w:tr>
      <w:tr w:rsidR="00536CEB" w:rsidRPr="00514C85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536CEB" w:rsidRPr="00514C85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11"/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536CEB" w:rsidRPr="00A852F3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536CEB" w:rsidRPr="00A852F3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</w:tr>
      <w:tr w:rsidR="00536CEB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BA6282" w:rsidRDefault="00536CEB" w:rsidP="00536CEB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&lt;&lt;Վերտիկալ&gt;&gt; ՍՊԸ և &lt;&lt;ԱՅԳ&gt;&gt; ՍՊԸ կոնսորցիում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1 000 000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0725BC" w:rsidRDefault="008B46F5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0725BC" w:rsidRDefault="008B46F5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1 200 000</w:t>
            </w:r>
          </w:p>
        </w:tc>
      </w:tr>
      <w:tr w:rsidR="00536CEB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1 000 000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A7331E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A7331E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1 200 000</w:t>
            </w:r>
          </w:p>
        </w:tc>
      </w:tr>
      <w:tr w:rsidR="00536CEB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5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36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&lt;&lt;Գեղարքունիք Նաիրի 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2 000 000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2 000 000</w:t>
            </w:r>
          </w:p>
        </w:tc>
      </w:tr>
      <w:tr w:rsidR="00536CEB" w:rsidRPr="007B0286" w:rsidTr="00536CEB">
        <w:trPr>
          <w:trHeight w:val="333"/>
        </w:trPr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74622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536CEB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BA6282" w:rsidRDefault="00536CEB" w:rsidP="00536CEB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&lt;&lt;ԲՈՒԼԳԱՐՈ&gt;&gt;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135 000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A7331E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A7331E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135 000</w:t>
            </w:r>
          </w:p>
        </w:tc>
      </w:tr>
      <w:tr w:rsidR="00536CEB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1071F0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&lt;&lt;Վերտիկալ&gt;&gt; ՍՊԸ և &lt;&lt;ԱՅԳ&gt;&gt; ՍՊԸ կոնսորցիում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180 000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8B46F5" w:rsidRDefault="009F76EB" w:rsidP="008B46F5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8B46F5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36 000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A852F3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216 000</w:t>
            </w:r>
          </w:p>
        </w:tc>
      </w:tr>
      <w:tr w:rsidR="00536CEB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E14BDC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0725BC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0725BC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290 000</w:t>
            </w:r>
          </w:p>
        </w:tc>
      </w:tr>
      <w:tr w:rsidR="00536CEB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290949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lastRenderedPageBreak/>
              <w:t>4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CA04D5" w:rsidRDefault="00536CEB" w:rsidP="00536CEB">
            <w:pPr>
              <w:spacing w:after="0" w:line="36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&lt;&lt;Գեղարքունիք Նաիրի 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9F76EB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9F76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Default="009F76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400 000</w:t>
            </w:r>
          </w:p>
        </w:tc>
      </w:tr>
      <w:tr w:rsidR="00536CEB" w:rsidRPr="007B0286" w:rsidTr="00B53A9A">
        <w:trPr>
          <w:trHeight w:val="12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536CEB" w:rsidRPr="007B0286" w:rsidTr="008129FC"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536CEB" w:rsidRPr="007B0286" w:rsidTr="007A3849"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8" w:type="dxa"/>
            <w:gridSpan w:val="3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536CEB" w:rsidRPr="007B0286" w:rsidTr="007A3849">
        <w:tc>
          <w:tcPr>
            <w:tcW w:w="15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536CEB" w:rsidRPr="007B0286" w:rsidTr="007A3849">
        <w:trPr>
          <w:trHeight w:val="331"/>
        </w:trPr>
        <w:tc>
          <w:tcPr>
            <w:tcW w:w="3951" w:type="dxa"/>
            <w:gridSpan w:val="7"/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09" w:type="dxa"/>
            <w:gridSpan w:val="27"/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536CEB" w:rsidRPr="007B0286" w:rsidTr="00B53A9A">
        <w:trPr>
          <w:trHeight w:val="153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536CEB" w:rsidRPr="007B0286" w:rsidTr="007A3849">
        <w:trPr>
          <w:trHeight w:val="60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BE6F4E" w:rsidP="00536CEB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26 հունիսի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2024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36CEB" w:rsidRPr="007B0286" w:rsidTr="007A3849">
        <w:trPr>
          <w:trHeight w:val="92"/>
        </w:trPr>
        <w:tc>
          <w:tcPr>
            <w:tcW w:w="6202" w:type="dxa"/>
            <w:gridSpan w:val="14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36CEB" w:rsidRPr="007B0286" w:rsidTr="007A3849">
        <w:trPr>
          <w:trHeight w:val="110"/>
        </w:trPr>
        <w:tc>
          <w:tcPr>
            <w:tcW w:w="620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BE6F4E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26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6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BE6F4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BE6F4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6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 w:rsidR="00BE6F4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536CEB" w:rsidRPr="007B0286" w:rsidTr="00710FE0">
        <w:trPr>
          <w:trHeight w:val="181"/>
        </w:trPr>
        <w:tc>
          <w:tcPr>
            <w:tcW w:w="1616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FB7D90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FB7D90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հուլիսի 11</w:t>
            </w:r>
          </w:p>
        </w:tc>
      </w:tr>
      <w:tr w:rsidR="00536CEB" w:rsidRPr="001B766A" w:rsidTr="007A3849">
        <w:trPr>
          <w:trHeight w:val="344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536CEB" w:rsidRPr="007B0286" w:rsidTr="003E599E">
        <w:trPr>
          <w:trHeight w:val="353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36CEB" w:rsidRPr="003E599E" w:rsidRDefault="00536CEB" w:rsidP="00536CE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EB" w:rsidRPr="007B0286" w:rsidRDefault="00617489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7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36CEB" w:rsidRPr="008A32A7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 w:rsidR="00FF192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7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536CEB" w:rsidRPr="007B0286" w:rsidTr="00AB5046">
        <w:trPr>
          <w:trHeight w:val="104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36CEB" w:rsidRPr="007B0286" w:rsidTr="00360A90"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0" w:type="dxa"/>
            <w:gridSpan w:val="3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197" w:type="dxa"/>
            <w:gridSpan w:val="26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536CEB" w:rsidRPr="007B0286" w:rsidTr="00E86281">
        <w:trPr>
          <w:trHeight w:val="89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695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536CEB" w:rsidRPr="007B0286" w:rsidTr="00E86281">
        <w:trPr>
          <w:trHeight w:val="108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536CEB" w:rsidRPr="007B0286" w:rsidTr="00E86281">
        <w:trPr>
          <w:trHeight w:val="305"/>
        </w:trPr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6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536CEB" w:rsidRPr="007B0286" w:rsidTr="004869FE">
        <w:trPr>
          <w:trHeight w:val="123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536CEB" w:rsidRPr="00F81FBA" w:rsidRDefault="00536CEB" w:rsidP="004869F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536CEB" w:rsidRPr="002A371D" w:rsidRDefault="007E076D" w:rsidP="004869FE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&lt;&lt;ԲՈՒԼԳԱՐՈ&gt;&gt;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536CEB" w:rsidRPr="007B0286" w:rsidRDefault="00536CEB" w:rsidP="004869FE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&lt;&lt;ԿՄՆՀ-ԳՀԽԾՁԲ-24/1</w:t>
            </w:r>
            <w:r w:rsidR="007E076D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 w:rsidR="00536CEB" w:rsidRPr="008464C2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.0</w:t>
            </w:r>
            <w:r w:rsidR="007E076D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36CEB" w:rsidRPr="00E86281" w:rsidRDefault="007E076D" w:rsidP="004869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834 000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536CEB" w:rsidRPr="00E86281" w:rsidRDefault="007E076D" w:rsidP="004869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834 000</w:t>
            </w:r>
          </w:p>
        </w:tc>
      </w:tr>
      <w:tr w:rsidR="00536CEB" w:rsidRPr="007B0286" w:rsidTr="008129FC">
        <w:trPr>
          <w:trHeight w:val="150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536CEB" w:rsidRPr="007B0286" w:rsidTr="002E0862">
        <w:trPr>
          <w:trHeight w:val="125"/>
        </w:trPr>
        <w:tc>
          <w:tcPr>
            <w:tcW w:w="1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7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1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01A6D" w:rsidRPr="002E0862" w:rsidTr="00073D83">
        <w:trPr>
          <w:trHeight w:val="53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Pr="007B0286" w:rsidRDefault="00C01A6D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,2</w:t>
            </w:r>
          </w:p>
        </w:tc>
        <w:tc>
          <w:tcPr>
            <w:tcW w:w="27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Pr="002A371D" w:rsidRDefault="00C01A6D" w:rsidP="004869FE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CA04D5">
              <w:rPr>
                <w:rFonts w:ascii="Sylfaen" w:hAnsi="Sylfaen" w:cs="Sylfaen"/>
                <w:sz w:val="18"/>
                <w:szCs w:val="18"/>
                <w:lang w:val="hy-AM"/>
              </w:rPr>
              <w:t>&lt;&lt;ԲՈՒԼԳԱՐՈ&gt;&gt; ՍՊԸ</w:t>
            </w:r>
          </w:p>
        </w:tc>
        <w:tc>
          <w:tcPr>
            <w:tcW w:w="311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Default="001B766A" w:rsidP="001B766A">
            <w:pPr>
              <w:widowControl w:val="0"/>
              <w:spacing w:after="0" w:line="0" w:lineRule="atLeast"/>
              <w:jc w:val="center"/>
              <w:rPr>
                <w:rStyle w:val="a3"/>
                <w:rFonts w:ascii="Sylfaen" w:hAnsi="Sylfaen" w:cs="Sylfaen"/>
                <w:sz w:val="16"/>
                <w:szCs w:val="16"/>
                <w:u w:val="none"/>
                <w:lang w:val="hy-AM" w:eastAsia="en-US"/>
              </w:rPr>
            </w:pPr>
            <w:r w:rsidRPr="00D8211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807C72"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 xml:space="preserve">գ. </w:t>
            </w:r>
            <w:r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>Վերին Գետաշեն</w:t>
            </w:r>
            <w:r w:rsidRPr="00807C72"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 xml:space="preserve"> , </w:t>
            </w:r>
            <w:r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>Աթաղ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hy-AM" w:eastAsia="en-US"/>
              </w:rPr>
              <w:t>․</w:t>
            </w:r>
            <w:r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>5-</w:t>
            </w:r>
            <w:r w:rsidRPr="00807C72"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 xml:space="preserve">րդ փողոց տուն </w:t>
            </w:r>
            <w:r>
              <w:rPr>
                <w:rStyle w:val="a3"/>
                <w:rFonts w:ascii="Sylfaen" w:hAnsi="Sylfaen" w:cs="Sylfaen"/>
                <w:sz w:val="20"/>
                <w:szCs w:val="20"/>
                <w:lang w:val="hy-AM" w:eastAsia="en-US"/>
              </w:rPr>
              <w:t>3</w:t>
            </w:r>
            <w:r>
              <w:rPr>
                <w:rStyle w:val="a3"/>
                <w:rFonts w:ascii="Sylfaen" w:hAnsi="Sylfaen" w:cs="Sylfaen"/>
                <w:sz w:val="16"/>
                <w:szCs w:val="16"/>
                <w:lang w:val="hy-AM" w:eastAsia="en-US"/>
              </w:rPr>
              <w:t xml:space="preserve"> </w:t>
            </w:r>
            <w:r w:rsidRPr="00D82117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 xml:space="preserve"> </w:t>
            </w:r>
            <w:r w:rsidR="00C01A6D" w:rsidRPr="007950BF">
              <w:rPr>
                <w:rFonts w:ascii="Sylfaen" w:hAnsi="Sylfaen"/>
                <w:sz w:val="16"/>
                <w:szCs w:val="16"/>
                <w:lang w:val="hy-AM"/>
              </w:rPr>
              <w:t>հեռ</w:t>
            </w:r>
            <w:r w:rsidR="00C01A6D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C01A6D" w:rsidRPr="007950B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098-86-84-94</w:t>
            </w:r>
            <w:bookmarkStart w:id="0" w:name="_GoBack"/>
            <w:bookmarkEnd w:id="0"/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Pr="00807009" w:rsidRDefault="005E2071" w:rsidP="004869FE">
            <w:pPr>
              <w:widowControl w:val="0"/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hyperlink r:id="rId7" w:history="1">
              <w:r w:rsidR="00C01A6D" w:rsidRPr="007950BF">
                <w:rPr>
                  <w:rStyle w:val="a3"/>
                  <w:rFonts w:ascii="Sylfaen" w:hAnsi="Sylfaen"/>
                  <w:sz w:val="16"/>
                  <w:szCs w:val="16"/>
                  <w:lang w:val="en-US"/>
                </w:rPr>
                <w:t>bulgarollc@yandex.ru</w:t>
              </w:r>
            </w:hyperlink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Default="00C01A6D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220193335571000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A6D" w:rsidRDefault="00C01A6D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084423975</w:t>
            </w:r>
          </w:p>
        </w:tc>
      </w:tr>
      <w:tr w:rsidR="00C01A6D" w:rsidRPr="00E677BD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01A6D" w:rsidRPr="001B766A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C01A6D" w:rsidRPr="001B766A" w:rsidTr="00B53A9A">
        <w:trPr>
          <w:trHeight w:val="14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01A6D" w:rsidRPr="001B766A" w:rsidTr="008129FC">
        <w:trPr>
          <w:trHeight w:val="288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01A6D" w:rsidRPr="007B0286" w:rsidRDefault="00C01A6D" w:rsidP="00C01A6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01A6D" w:rsidRPr="007B0286" w:rsidRDefault="00C01A6D" w:rsidP="00C01A6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01A6D" w:rsidRPr="007B0286" w:rsidRDefault="00C01A6D" w:rsidP="00C01A6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8A32A7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7"/>
            </w:r>
          </w:p>
        </w:tc>
      </w:tr>
      <w:tr w:rsidR="00C01A6D" w:rsidRPr="001B766A" w:rsidTr="00B53A9A">
        <w:trPr>
          <w:trHeight w:val="153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01A6D" w:rsidRPr="001B766A" w:rsidTr="007A3849">
        <w:trPr>
          <w:trHeight w:val="303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C01A6D" w:rsidRPr="007B0286" w:rsidRDefault="00C01A6D" w:rsidP="00C01A6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1A6D" w:rsidRPr="007B0286" w:rsidRDefault="00C01A6D" w:rsidP="00C01A6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C01A6D" w:rsidRPr="001B766A" w:rsidTr="00B53A9A">
        <w:trPr>
          <w:trHeight w:val="6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01A6D" w:rsidRPr="001B766A" w:rsidTr="007A3849">
        <w:trPr>
          <w:trHeight w:val="427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C01A6D" w:rsidRPr="001B766A" w:rsidTr="00B53A9A">
        <w:trPr>
          <w:trHeight w:val="60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01A6D" w:rsidRPr="001B766A" w:rsidTr="007A3849">
        <w:trPr>
          <w:trHeight w:val="118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C01A6D" w:rsidRPr="001B766A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01A6D" w:rsidRPr="007B0286" w:rsidTr="007A3849">
        <w:trPr>
          <w:trHeight w:val="162"/>
        </w:trPr>
        <w:tc>
          <w:tcPr>
            <w:tcW w:w="59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C01A6D" w:rsidRPr="007B0286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C01A6D" w:rsidRPr="007B0286" w:rsidRDefault="00C01A6D" w:rsidP="00C01A6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C01A6D" w:rsidRPr="007B0286" w:rsidTr="008129FC">
        <w:trPr>
          <w:trHeight w:val="227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01A6D" w:rsidRPr="007B0286" w:rsidTr="007A3849">
        <w:trPr>
          <w:trHeight w:val="47"/>
        </w:trPr>
        <w:tc>
          <w:tcPr>
            <w:tcW w:w="4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A6D" w:rsidRPr="007B0286" w:rsidRDefault="00C01A6D" w:rsidP="00C01A6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01A6D" w:rsidRPr="007B0286" w:rsidTr="007A3849">
        <w:trPr>
          <w:trHeight w:val="259"/>
        </w:trPr>
        <w:tc>
          <w:tcPr>
            <w:tcW w:w="4802" w:type="dxa"/>
            <w:gridSpan w:val="11"/>
            <w:shd w:val="clear" w:color="auto" w:fill="auto"/>
            <w:vAlign w:val="center"/>
          </w:tcPr>
          <w:p w:rsidR="00C01A6D" w:rsidRPr="007B0286" w:rsidRDefault="00C01A6D" w:rsidP="00C01A6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lastRenderedPageBreak/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10"/>
            <w:shd w:val="clear" w:color="auto" w:fill="auto"/>
            <w:vAlign w:val="center"/>
          </w:tcPr>
          <w:p w:rsidR="00C01A6D" w:rsidRPr="007B0286" w:rsidRDefault="00C01A6D" w:rsidP="00C01A6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C01A6D" w:rsidRPr="007B0286" w:rsidRDefault="005E2071" w:rsidP="00C01A6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="00C01A6D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C01A6D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C01A6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C01A6D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C01A6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C547CC">
        <w:rPr>
          <w:rFonts w:ascii="Sylfaen" w:eastAsia="Times New Roman" w:hAnsi="Sylfaen" w:cs="Sylfaen"/>
          <w:b/>
          <w:sz w:val="20"/>
          <w:szCs w:val="20"/>
          <w:lang w:val="hy-AM"/>
        </w:rPr>
        <w:t>-24/</w:t>
      </w:r>
      <w:r w:rsidR="00781C46">
        <w:rPr>
          <w:rFonts w:ascii="Sylfaen" w:eastAsia="Times New Roman" w:hAnsi="Sylfaen" w:cs="Sylfaen"/>
          <w:b/>
          <w:sz w:val="20"/>
          <w:szCs w:val="20"/>
          <w:lang w:val="hy-AM"/>
        </w:rPr>
        <w:t>1</w:t>
      </w:r>
      <w:r w:rsidR="00A82139">
        <w:rPr>
          <w:rFonts w:ascii="Sylfaen" w:eastAsia="Times New Roman" w:hAnsi="Sylfaen" w:cs="Sylfaen"/>
          <w:b/>
          <w:sz w:val="20"/>
          <w:szCs w:val="20"/>
          <w:lang w:val="hy-AM"/>
        </w:rPr>
        <w:t>2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&gt;&gt;, организованной с целью приобретения консультационных услуг по 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3143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860"/>
        <w:gridCol w:w="133"/>
        <w:gridCol w:w="708"/>
        <w:gridCol w:w="143"/>
        <w:gridCol w:w="568"/>
        <w:gridCol w:w="140"/>
        <w:gridCol w:w="567"/>
        <w:gridCol w:w="9"/>
        <w:gridCol w:w="258"/>
        <w:gridCol w:w="443"/>
        <w:gridCol w:w="565"/>
        <w:gridCol w:w="860"/>
        <w:gridCol w:w="142"/>
        <w:gridCol w:w="561"/>
        <w:gridCol w:w="75"/>
        <w:gridCol w:w="639"/>
        <w:gridCol w:w="133"/>
        <w:gridCol w:w="711"/>
        <w:gridCol w:w="432"/>
        <w:gridCol w:w="62"/>
        <w:gridCol w:w="867"/>
        <w:gridCol w:w="60"/>
        <w:gridCol w:w="996"/>
        <w:gridCol w:w="123"/>
        <w:gridCol w:w="1008"/>
        <w:gridCol w:w="2252"/>
        <w:gridCol w:w="18"/>
        <w:gridCol w:w="15271"/>
      </w:tblGrid>
      <w:tr w:rsidR="007B0286" w:rsidRPr="007B0286" w:rsidTr="00F33604">
        <w:trPr>
          <w:gridAfter w:val="1"/>
          <w:wAfter w:w="15271" w:type="dxa"/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30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D721B5">
        <w:trPr>
          <w:gridAfter w:val="2"/>
          <w:wAfter w:w="15289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7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842" w:type="dxa"/>
            <w:gridSpan w:val="6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261" w:type="dxa"/>
            <w:gridSpan w:val="7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383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D721B5">
        <w:trPr>
          <w:gridAfter w:val="2"/>
          <w:wAfter w:w="15289" w:type="dxa"/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842" w:type="dxa"/>
            <w:gridSpan w:val="6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261" w:type="dxa"/>
            <w:gridSpan w:val="7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D721B5">
        <w:trPr>
          <w:gridAfter w:val="2"/>
          <w:wAfter w:w="15289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261" w:type="dxa"/>
            <w:gridSpan w:val="7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D721B5">
        <w:trPr>
          <w:gridAfter w:val="2"/>
          <w:wAfter w:w="15289" w:type="dxa"/>
          <w:trHeight w:val="60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4869FE" w:rsidRPr="00781C46" w:rsidTr="006936B9">
        <w:trPr>
          <w:gridAfter w:val="2"/>
          <w:wAfter w:w="15289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widowControl w:val="0"/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4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69FE" w:rsidRPr="00284815" w:rsidRDefault="004869FE" w:rsidP="004869FE">
            <w:pPr>
              <w:spacing w:after="0" w:line="0" w:lineRule="atLeast"/>
            </w:pPr>
            <w:r w:rsidRPr="00284815">
              <w:t xml:space="preserve">Консультация по техническому контролю качества работ по ремонту выбоин на улицах поселка </w:t>
            </w:r>
            <w:proofErr w:type="spellStart"/>
            <w:r w:rsidRPr="00284815">
              <w:t>Наири</w:t>
            </w:r>
            <w:proofErr w:type="spellEnd"/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:rsidR="004869FE" w:rsidRPr="00F94277" w:rsidRDefault="004869FE" w:rsidP="004869FE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CA04D5" w:rsidRDefault="004869FE" w:rsidP="004869FE">
            <w:pPr>
              <w:spacing w:after="0" w:line="0" w:lineRule="atLeast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CA04D5">
              <w:rPr>
                <w:rFonts w:ascii="Sylfaen" w:hAnsi="Sylfaen" w:cs="Calibri"/>
                <w:sz w:val="20"/>
                <w:szCs w:val="20"/>
                <w:lang w:val="hy-AM"/>
              </w:rPr>
              <w:t>2 473 300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CA04D5" w:rsidRDefault="004869FE" w:rsidP="004869FE">
            <w:pPr>
              <w:spacing w:after="0" w:line="0" w:lineRule="atLeast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CA04D5">
              <w:rPr>
                <w:rFonts w:ascii="Sylfaen" w:hAnsi="Sylfaen" w:cs="Calibri"/>
                <w:sz w:val="20"/>
                <w:szCs w:val="20"/>
                <w:lang w:val="hy-AM"/>
              </w:rPr>
              <w:t>2 473 300</w:t>
            </w: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69FE" w:rsidRPr="00321342" w:rsidRDefault="004869FE" w:rsidP="004869FE">
            <w:pPr>
              <w:spacing w:after="0" w:line="0" w:lineRule="atLeast"/>
            </w:pPr>
            <w:r w:rsidRPr="00321342">
              <w:t xml:space="preserve">Консультация по техническому контролю качества работ по ремонту выбоин на улицах поселка </w:t>
            </w:r>
            <w:proofErr w:type="spellStart"/>
            <w:r w:rsidRPr="00321342">
              <w:t>Наири</w:t>
            </w:r>
            <w:proofErr w:type="spellEnd"/>
          </w:p>
        </w:tc>
        <w:tc>
          <w:tcPr>
            <w:tcW w:w="33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69FE" w:rsidRPr="00321342" w:rsidRDefault="004869FE" w:rsidP="004869FE">
            <w:pPr>
              <w:spacing w:after="0" w:line="0" w:lineRule="atLeast"/>
            </w:pPr>
            <w:r w:rsidRPr="00321342">
              <w:t xml:space="preserve">Консультация по техническому контролю качества работ по ремонту выбоин на улицах поселка </w:t>
            </w:r>
            <w:proofErr w:type="spellStart"/>
            <w:r w:rsidRPr="00321342">
              <w:t>Наири</w:t>
            </w:r>
            <w:proofErr w:type="spellEnd"/>
          </w:p>
        </w:tc>
      </w:tr>
      <w:tr w:rsidR="004869FE" w:rsidRPr="00781C46" w:rsidTr="00882099">
        <w:trPr>
          <w:gridAfter w:val="2"/>
          <w:wAfter w:w="15289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widowControl w:val="0"/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4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69FE" w:rsidRDefault="004869FE" w:rsidP="004869FE">
            <w:pPr>
              <w:spacing w:after="0" w:line="0" w:lineRule="atLeast"/>
            </w:pPr>
            <w:r w:rsidRPr="00284815">
              <w:t xml:space="preserve">Консультации по техническому контролю качества работ по устранению уличных трещин в поселке </w:t>
            </w:r>
            <w:proofErr w:type="spellStart"/>
            <w:r w:rsidRPr="00284815">
              <w:t>Наири</w:t>
            </w:r>
            <w:proofErr w:type="spellEnd"/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:rsidR="004869FE" w:rsidRPr="00F94277" w:rsidRDefault="004869FE" w:rsidP="004869FE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F94277" w:rsidRDefault="004869FE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CA04D5" w:rsidRDefault="004869FE" w:rsidP="004869FE">
            <w:pPr>
              <w:spacing w:after="0" w:line="0" w:lineRule="atLeast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CA04D5">
              <w:rPr>
                <w:rFonts w:ascii="Sylfaen" w:hAnsi="Sylfaen" w:cs="Calibri"/>
                <w:sz w:val="20"/>
                <w:szCs w:val="20"/>
                <w:lang w:val="hy-AM"/>
              </w:rPr>
              <w:t>404 004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9FE" w:rsidRPr="00CA04D5" w:rsidRDefault="004869FE" w:rsidP="004869FE">
            <w:pPr>
              <w:spacing w:after="0" w:line="0" w:lineRule="atLeast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CA04D5">
              <w:rPr>
                <w:rFonts w:ascii="Sylfaen" w:hAnsi="Sylfaen" w:cs="Calibri"/>
                <w:sz w:val="20"/>
                <w:szCs w:val="20"/>
                <w:lang w:val="hy-AM"/>
              </w:rPr>
              <w:t>404 004</w:t>
            </w: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69FE" w:rsidRDefault="004869FE" w:rsidP="004869FE">
            <w:pPr>
              <w:spacing w:after="0" w:line="0" w:lineRule="atLeast"/>
            </w:pPr>
            <w:r w:rsidRPr="00321342">
              <w:t xml:space="preserve">Консультации по техническому контролю качества работ по устранению уличных трещин в поселке </w:t>
            </w:r>
            <w:proofErr w:type="spellStart"/>
            <w:r w:rsidRPr="00321342">
              <w:t>Наири</w:t>
            </w:r>
            <w:proofErr w:type="spellEnd"/>
          </w:p>
        </w:tc>
        <w:tc>
          <w:tcPr>
            <w:tcW w:w="33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69FE" w:rsidRDefault="004869FE" w:rsidP="004869FE">
            <w:pPr>
              <w:spacing w:after="0" w:line="0" w:lineRule="atLeast"/>
            </w:pPr>
            <w:r w:rsidRPr="00321342">
              <w:t xml:space="preserve">Консультации по техническому контролю качества работ по устранению уличных трещин в поселке </w:t>
            </w:r>
            <w:proofErr w:type="spellStart"/>
            <w:r w:rsidRPr="00321342">
              <w:t>Наири</w:t>
            </w:r>
            <w:proofErr w:type="spellEnd"/>
          </w:p>
        </w:tc>
      </w:tr>
      <w:tr w:rsidR="00A82139" w:rsidRPr="00781C46" w:rsidTr="00F33604">
        <w:trPr>
          <w:gridAfter w:val="1"/>
          <w:wAfter w:w="15271" w:type="dxa"/>
          <w:trHeight w:val="169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A82139" w:rsidRPr="007B0286" w:rsidTr="00F33604">
        <w:trPr>
          <w:gridAfter w:val="1"/>
          <w:wAfter w:w="15271" w:type="dxa"/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A82139" w:rsidRPr="007B0286" w:rsidTr="00F33604">
        <w:trPr>
          <w:gridAfter w:val="1"/>
          <w:wAfter w:w="15271" w:type="dxa"/>
          <w:trHeight w:val="196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A82139" w:rsidRPr="007B0286" w:rsidTr="00F336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271" w:type="dxa"/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17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06</w:t>
            </w:r>
            <w:r w:rsidR="00A82139"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</w:t>
            </w:r>
            <w:r w:rsidR="00A82139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A82139" w:rsidRPr="007B0286" w:rsidTr="00F336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271" w:type="dxa"/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A82139" w:rsidRPr="007B0286" w:rsidTr="00F336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271" w:type="dxa"/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A82139" w:rsidRPr="007B0286" w:rsidTr="00F336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271" w:type="dxa"/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A82139" w:rsidRPr="007B0286" w:rsidTr="00F33604">
        <w:trPr>
          <w:gridAfter w:val="1"/>
          <w:wAfter w:w="15271" w:type="dxa"/>
          <w:trHeight w:val="54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A82139" w:rsidRPr="007B0286" w:rsidTr="00F33604">
        <w:trPr>
          <w:gridAfter w:val="1"/>
          <w:wAfter w:w="15271" w:type="dxa"/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9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A82139" w:rsidRPr="007B0286" w:rsidTr="00F33604">
        <w:trPr>
          <w:gridAfter w:val="1"/>
          <w:wAfter w:w="15271" w:type="dxa"/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A82139" w:rsidRPr="007B0286" w:rsidTr="00F33604">
        <w:trPr>
          <w:gridAfter w:val="1"/>
          <w:wAfter w:w="15271" w:type="dxa"/>
          <w:trHeight w:val="83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before="100" w:beforeAutospacing="1" w:after="100" w:afterAutospacing="1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553A0C" w:rsidRPr="007B0286" w:rsidTr="00C547E1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1310EA" w:rsidRDefault="00553A0C" w:rsidP="00553A0C">
            <w:pPr>
              <w:spacing w:after="0" w:line="0" w:lineRule="atLeast"/>
            </w:pPr>
            <w:r w:rsidRPr="001310EA">
              <w:t>"БУЛГАРО"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699 000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A7331E" w:rsidRDefault="00553A0C" w:rsidP="00553A0C">
            <w:pPr>
              <w:pStyle w:val="a6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A7331E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699 000</w:t>
            </w:r>
          </w:p>
        </w:tc>
      </w:tr>
      <w:tr w:rsidR="00553A0C" w:rsidRPr="007B0286" w:rsidTr="00C547E1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Pr="00514C85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1310EA" w:rsidRDefault="00553A0C" w:rsidP="00553A0C">
            <w:pPr>
              <w:spacing w:after="0" w:line="0" w:lineRule="atLeast"/>
            </w:pPr>
            <w:r w:rsidRPr="001310EA">
              <w:t>&lt;&lt;</w:t>
            </w:r>
            <w:proofErr w:type="spellStart"/>
            <w:r w:rsidRPr="001310EA">
              <w:t>Ваграм</w:t>
            </w:r>
            <w:proofErr w:type="spellEnd"/>
            <w:r w:rsidRPr="001310EA">
              <w:t xml:space="preserve"> </w:t>
            </w:r>
            <w:proofErr w:type="spellStart"/>
            <w:r w:rsidRPr="001310EA">
              <w:t>Князян</w:t>
            </w:r>
            <w:proofErr w:type="spellEnd"/>
            <w:r w:rsidRPr="001310EA">
              <w:t>&gt;&gt; А/Д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A852F3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A852F3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</w:tr>
      <w:tr w:rsidR="00553A0C" w:rsidRPr="007B0286" w:rsidTr="00C547E1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1310EA" w:rsidRDefault="00553A0C" w:rsidP="00553A0C">
            <w:pPr>
              <w:spacing w:after="0" w:line="0" w:lineRule="atLeast"/>
            </w:pPr>
            <w:r w:rsidRPr="001310EA">
              <w:t>Консорциум ООО «Вертикаль» и ООО «АЙГ»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1 000 000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0725BC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0725B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1 200 000</w:t>
            </w:r>
          </w:p>
        </w:tc>
      </w:tr>
      <w:tr w:rsidR="00553A0C" w:rsidRPr="007B0286" w:rsidTr="00C547E1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1310EA" w:rsidRDefault="00553A0C" w:rsidP="00553A0C">
            <w:pPr>
              <w:spacing w:after="0" w:line="0" w:lineRule="atLeast"/>
            </w:pPr>
            <w:r w:rsidRPr="001310EA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1 000 000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A7331E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A7331E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1 200 000</w:t>
            </w:r>
          </w:p>
        </w:tc>
      </w:tr>
      <w:tr w:rsidR="00553A0C" w:rsidRPr="007B0286" w:rsidTr="00C547E1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5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Default="00553A0C" w:rsidP="00553A0C">
            <w:pPr>
              <w:spacing w:after="0" w:line="0" w:lineRule="atLeast"/>
            </w:pPr>
            <w:r w:rsidRPr="001310EA">
              <w:t>ООО &lt;&lt;</w:t>
            </w:r>
            <w:proofErr w:type="spellStart"/>
            <w:r w:rsidRPr="001310EA">
              <w:t>Гегаркуник</w:t>
            </w:r>
            <w:proofErr w:type="spellEnd"/>
            <w:r w:rsidRPr="001310EA">
              <w:t xml:space="preserve"> </w:t>
            </w:r>
            <w:proofErr w:type="spellStart"/>
            <w:r w:rsidRPr="001310EA">
              <w:t>Наири</w:t>
            </w:r>
            <w:proofErr w:type="spellEnd"/>
            <w:r w:rsidRPr="001310EA">
              <w:t>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2 000 000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2 000 000</w:t>
            </w:r>
          </w:p>
        </w:tc>
      </w:tr>
      <w:tr w:rsidR="00553A0C" w:rsidRPr="007B0286" w:rsidTr="00F33604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20"/>
              </w:rPr>
              <w:t>Лот 2</w:t>
            </w:r>
          </w:p>
        </w:tc>
        <w:tc>
          <w:tcPr>
            <w:tcW w:w="4412" w:type="dxa"/>
            <w:gridSpan w:val="9"/>
            <w:shd w:val="clear" w:color="auto" w:fill="auto"/>
            <w:vAlign w:val="center"/>
          </w:tcPr>
          <w:p w:rsidR="00553A0C" w:rsidRPr="00974622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553A0C" w:rsidRPr="007B0286" w:rsidTr="000461CB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7151E3" w:rsidRDefault="00553A0C" w:rsidP="00553A0C">
            <w:pPr>
              <w:spacing w:after="0" w:line="0" w:lineRule="atLeast"/>
            </w:pPr>
            <w:r w:rsidRPr="007151E3">
              <w:t>"БУЛГАРО"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135 000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A7331E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A7331E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135 000</w:t>
            </w:r>
          </w:p>
        </w:tc>
      </w:tr>
      <w:tr w:rsidR="00553A0C" w:rsidRPr="007B0286" w:rsidTr="000461CB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Pr="001071F0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7151E3" w:rsidRDefault="00553A0C" w:rsidP="00553A0C">
            <w:pPr>
              <w:spacing w:after="0" w:line="0" w:lineRule="atLeast"/>
            </w:pPr>
            <w:r w:rsidRPr="007151E3">
              <w:t>Консорциум ООО «Вертикаль» и ООО «АЙГ»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180 000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8B46F5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8B46F5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36 000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A852F3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216 000</w:t>
            </w:r>
          </w:p>
        </w:tc>
      </w:tr>
      <w:tr w:rsidR="00553A0C" w:rsidRPr="007B0286" w:rsidTr="000461CB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Pr="00E14BDC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Pr="007151E3" w:rsidRDefault="00553A0C" w:rsidP="00553A0C">
            <w:pPr>
              <w:spacing w:after="0" w:line="0" w:lineRule="atLeast"/>
            </w:pPr>
            <w:r w:rsidRPr="007151E3">
              <w:t>&lt;&lt;</w:t>
            </w:r>
            <w:proofErr w:type="spellStart"/>
            <w:r w:rsidRPr="007151E3">
              <w:t>Ваграм</w:t>
            </w:r>
            <w:proofErr w:type="spellEnd"/>
            <w:r w:rsidRPr="007151E3">
              <w:t xml:space="preserve"> </w:t>
            </w:r>
            <w:proofErr w:type="spellStart"/>
            <w:r w:rsidRPr="007151E3">
              <w:t>Князян</w:t>
            </w:r>
            <w:proofErr w:type="spellEnd"/>
            <w:r w:rsidRPr="007151E3">
              <w:t>&gt;&gt; А/Д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Pr="000725BC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Pr="000725B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290 000</w:t>
            </w:r>
          </w:p>
        </w:tc>
      </w:tr>
      <w:tr w:rsidR="00553A0C" w:rsidRPr="007B0286" w:rsidTr="000461CB">
        <w:trPr>
          <w:gridAfter w:val="1"/>
          <w:wAfter w:w="15271" w:type="dxa"/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553A0C" w:rsidRPr="00290949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553A0C" w:rsidRDefault="00553A0C" w:rsidP="00553A0C">
            <w:pPr>
              <w:spacing w:after="0" w:line="0" w:lineRule="atLeast"/>
            </w:pPr>
            <w:r w:rsidRPr="007151E3">
              <w:t>ООО &lt;&lt;</w:t>
            </w:r>
            <w:proofErr w:type="spellStart"/>
            <w:r w:rsidRPr="007151E3">
              <w:t>Гегаркуник</w:t>
            </w:r>
            <w:proofErr w:type="spellEnd"/>
            <w:r w:rsidRPr="007151E3">
              <w:t xml:space="preserve"> </w:t>
            </w:r>
            <w:proofErr w:type="spellStart"/>
            <w:r w:rsidRPr="007151E3">
              <w:t>Наири</w:t>
            </w:r>
            <w:proofErr w:type="spellEnd"/>
            <w:r w:rsidRPr="007151E3">
              <w:t>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553A0C" w:rsidRPr="009F76EB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553A0C" w:rsidRDefault="00553A0C" w:rsidP="00553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400 000</w:t>
            </w:r>
          </w:p>
        </w:tc>
      </w:tr>
      <w:tr w:rsidR="00553A0C" w:rsidRPr="007B0286" w:rsidTr="00F33604">
        <w:trPr>
          <w:gridAfter w:val="1"/>
          <w:wAfter w:w="15271" w:type="dxa"/>
          <w:trHeight w:val="155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before="100" w:beforeAutospacing="1" w:after="100" w:afterAutospacing="1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53A0C" w:rsidRPr="007B0286" w:rsidTr="00F33604">
        <w:trPr>
          <w:gridAfter w:val="1"/>
          <w:wAfter w:w="15271" w:type="dxa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lastRenderedPageBreak/>
              <w:t>Информация об отклоненных заявках</w:t>
            </w:r>
          </w:p>
        </w:tc>
      </w:tr>
      <w:tr w:rsidR="00553A0C" w:rsidRPr="007B0286" w:rsidTr="00F33604">
        <w:trPr>
          <w:gridAfter w:val="1"/>
          <w:wAfter w:w="15271" w:type="dxa"/>
        </w:trPr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5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553A0C" w:rsidRPr="007B0286" w:rsidTr="00F33604">
        <w:trPr>
          <w:gridAfter w:val="1"/>
          <w:wAfter w:w="15271" w:type="dxa"/>
        </w:trPr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553A0C" w:rsidRPr="007B0286" w:rsidTr="00F33604">
        <w:trPr>
          <w:gridAfter w:val="1"/>
          <w:wAfter w:w="15271" w:type="dxa"/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553A0C" w:rsidRPr="007B0286" w:rsidTr="00F33604">
        <w:trPr>
          <w:gridAfter w:val="1"/>
          <w:wAfter w:w="15271" w:type="dxa"/>
          <w:trHeight w:val="121"/>
        </w:trPr>
        <w:tc>
          <w:tcPr>
            <w:tcW w:w="4527" w:type="dxa"/>
            <w:gridSpan w:val="7"/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553A0C" w:rsidRPr="007B0286" w:rsidTr="00F33604">
        <w:trPr>
          <w:gridAfter w:val="1"/>
          <w:wAfter w:w="15271" w:type="dxa"/>
          <w:trHeight w:val="139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553A0C" w:rsidRPr="007B0286" w:rsidTr="00F33604">
        <w:trPr>
          <w:gridAfter w:val="1"/>
          <w:wAfter w:w="15271" w:type="dxa"/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FB7D90" w:rsidP="00FB7D90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26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6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553A0C" w:rsidRPr="007B0286" w:rsidTr="00F33604">
        <w:trPr>
          <w:gridAfter w:val="1"/>
          <w:wAfter w:w="15271" w:type="dxa"/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553A0C" w:rsidRPr="007B0286" w:rsidTr="00F33604">
        <w:trPr>
          <w:gridAfter w:val="1"/>
          <w:wAfter w:w="15271" w:type="dxa"/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FB7D90" w:rsidP="00553A0C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26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6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553A0C"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FB7D90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 w:rsidR="00FB7D90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6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.0</w:t>
            </w:r>
            <w:r w:rsidR="00FB7D90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53A0C" w:rsidRPr="007B0286" w:rsidTr="00F33604">
        <w:trPr>
          <w:gridAfter w:val="1"/>
          <w:wAfter w:w="15271" w:type="dxa"/>
          <w:trHeight w:val="344"/>
        </w:trPr>
        <w:tc>
          <w:tcPr>
            <w:tcW w:w="16159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FB7D90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 w:rsidR="00FB7D90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11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/0</w:t>
            </w:r>
            <w:r w:rsidR="00FB7D90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7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г. </w:t>
            </w:r>
          </w:p>
        </w:tc>
      </w:tr>
      <w:tr w:rsidR="00553A0C" w:rsidRPr="007B0286" w:rsidTr="00F33604">
        <w:trPr>
          <w:gridAfter w:val="1"/>
          <w:wAfter w:w="15271" w:type="dxa"/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553A0C" w:rsidRPr="007B0286" w:rsidTr="00F33604">
        <w:trPr>
          <w:gridAfter w:val="1"/>
          <w:wAfter w:w="15271" w:type="dxa"/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53A0C" w:rsidRPr="00AF46C8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лот 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555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0C" w:rsidRPr="007B0286" w:rsidRDefault="00553A0C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 w:rsidR="00FB7D90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FB7D90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.0</w:t>
            </w:r>
            <w:r w:rsidR="00FB7D90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53A0C" w:rsidRPr="007B0286" w:rsidTr="00F33604">
        <w:trPr>
          <w:gridAfter w:val="1"/>
          <w:wAfter w:w="15271" w:type="dxa"/>
          <w:trHeight w:val="147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53A0C" w:rsidRPr="007B0286" w:rsidTr="00F33604">
        <w:trPr>
          <w:gridAfter w:val="1"/>
          <w:wAfter w:w="15271" w:type="dxa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5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553A0C" w:rsidRPr="007B0286" w:rsidTr="00F33604">
        <w:trPr>
          <w:gridAfter w:val="1"/>
          <w:wAfter w:w="15271" w:type="dxa"/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8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553A0C" w:rsidRPr="007B0286" w:rsidTr="00F33604">
        <w:trPr>
          <w:gridAfter w:val="1"/>
          <w:wAfter w:w="15271" w:type="dxa"/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8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553A0C" w:rsidRPr="007B0286" w:rsidTr="00F33604">
        <w:trPr>
          <w:gridAfter w:val="1"/>
          <w:wAfter w:w="15271" w:type="dxa"/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FB7D90" w:rsidRPr="007B0286" w:rsidTr="00CE5B1D">
        <w:trPr>
          <w:gridAfter w:val="1"/>
          <w:wAfter w:w="15271" w:type="dxa"/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FB7D90" w:rsidRPr="007151E3" w:rsidRDefault="00FB7D90" w:rsidP="00FB7D90">
            <w:pPr>
              <w:spacing w:after="0" w:line="0" w:lineRule="atLeast"/>
              <w:jc w:val="center"/>
            </w:pPr>
            <w:r w:rsidRPr="007151E3">
              <w:t>"БУЛГАРО" ООО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&lt;&lt;ԿՄՆՀ-ԳՀԽԾՁԲ-24/12&gt;&gt;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FB7D90" w:rsidRPr="008464C2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53" w:type="dxa"/>
            <w:gridSpan w:val="8"/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FB7D90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B7D90" w:rsidRPr="00E86281" w:rsidRDefault="00FB7D90" w:rsidP="00FB7D9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834 000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FB7D90" w:rsidRPr="00E86281" w:rsidRDefault="00FB7D90" w:rsidP="00FB7D9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834 000</w:t>
            </w:r>
          </w:p>
        </w:tc>
      </w:tr>
      <w:tr w:rsidR="00FB7D90" w:rsidRPr="007B0286" w:rsidTr="00F33604">
        <w:trPr>
          <w:trHeight w:val="495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  <w:tc>
          <w:tcPr>
            <w:tcW w:w="15271" w:type="dxa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FB7D90" w:rsidRPr="007B0286" w:rsidTr="00FB7D90">
        <w:trPr>
          <w:gridAfter w:val="1"/>
          <w:wAfter w:w="15271" w:type="dxa"/>
          <w:trHeight w:val="396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FB7D90" w:rsidRPr="007B0286" w:rsidTr="007D30F8">
        <w:trPr>
          <w:gridAfter w:val="1"/>
          <w:wAfter w:w="15271" w:type="dxa"/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7D90" w:rsidRPr="007151E3" w:rsidRDefault="00FB7D90" w:rsidP="00FB7D90">
            <w:pPr>
              <w:spacing w:after="0" w:line="0" w:lineRule="atLeast"/>
              <w:jc w:val="center"/>
            </w:pPr>
            <w:r w:rsidRPr="007151E3">
              <w:t>"БУЛГАРО" ООО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Default="00FB7D90" w:rsidP="00FB7D90">
            <w:pPr>
              <w:widowControl w:val="0"/>
              <w:spacing w:after="0" w:line="0" w:lineRule="atLeast"/>
              <w:jc w:val="center"/>
              <w:rPr>
                <w:rStyle w:val="a3"/>
                <w:rFonts w:ascii="Sylfaen" w:hAnsi="Sylfaen" w:cs="Sylfaen"/>
                <w:sz w:val="16"/>
                <w:szCs w:val="16"/>
                <w:u w:val="none"/>
                <w:lang w:val="hy-AM" w:eastAsia="en-US"/>
              </w:rPr>
            </w:pPr>
            <w:r w:rsidRPr="00FB7D90">
              <w:rPr>
                <w:rStyle w:val="a3"/>
                <w:rFonts w:ascii="Sylfaen" w:hAnsi="Sylfaen" w:cs="Sylfaen"/>
                <w:sz w:val="16"/>
                <w:szCs w:val="16"/>
                <w:u w:val="none"/>
                <w:lang w:val="hy-AM" w:eastAsia="en-US"/>
              </w:rPr>
              <w:t>село Гегакар, 2-я улица, дом 4, тел. 094-70-08-50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807009" w:rsidRDefault="005E2071" w:rsidP="00FB7D90">
            <w:pPr>
              <w:widowControl w:val="0"/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hyperlink r:id="rId10" w:history="1">
              <w:r w:rsidR="00FB7D90" w:rsidRPr="007950BF">
                <w:rPr>
                  <w:rStyle w:val="a3"/>
                  <w:rFonts w:ascii="Sylfaen" w:hAnsi="Sylfaen"/>
                  <w:sz w:val="16"/>
                  <w:szCs w:val="16"/>
                  <w:lang w:val="en-US"/>
                </w:rPr>
                <w:t>bulgarollc@yandex.ru</w:t>
              </w:r>
            </w:hyperlink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220193335571000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084423975</w:t>
            </w:r>
          </w:p>
        </w:tc>
      </w:tr>
      <w:tr w:rsidR="00FB7D90" w:rsidRPr="007B0286" w:rsidTr="00F33604">
        <w:trPr>
          <w:gridAfter w:val="1"/>
          <w:wAfter w:w="15271" w:type="dxa"/>
          <w:trHeight w:val="75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271" w:type="dxa"/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288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176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151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FB7D90" w:rsidRPr="007B0286" w:rsidTr="00F33604">
        <w:trPr>
          <w:gridAfter w:val="1"/>
          <w:wAfter w:w="15271" w:type="dxa"/>
          <w:trHeight w:val="112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94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15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FB7D90" w:rsidRPr="007B0286" w:rsidTr="00F33604">
        <w:trPr>
          <w:gridAfter w:val="1"/>
          <w:wAfter w:w="15271" w:type="dxa"/>
          <w:trHeight w:val="227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FB7D90" w:rsidRPr="007B0286" w:rsidTr="00F33604">
        <w:trPr>
          <w:gridAfter w:val="1"/>
          <w:wAfter w:w="15271" w:type="dxa"/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FB7D90" w:rsidRPr="007B0286" w:rsidTr="00F33604">
        <w:trPr>
          <w:gridAfter w:val="1"/>
          <w:wAfter w:w="15271" w:type="dxa"/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2"/>
            <w:shd w:val="clear" w:color="auto" w:fill="auto"/>
            <w:vAlign w:val="center"/>
          </w:tcPr>
          <w:p w:rsidR="00FB7D90" w:rsidRPr="007B0286" w:rsidRDefault="005E2071" w:rsidP="00FB7D90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="00FB7D90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FB7D90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FB7D90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B7D90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B7D90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71" w:rsidRDefault="005E2071" w:rsidP="00786576">
      <w:pPr>
        <w:spacing w:after="0" w:line="240" w:lineRule="auto"/>
      </w:pPr>
      <w:r>
        <w:separator/>
      </w:r>
    </w:p>
  </w:endnote>
  <w:endnote w:type="continuationSeparator" w:id="0">
    <w:p w:rsidR="005E2071" w:rsidRDefault="005E2071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71" w:rsidRDefault="005E2071" w:rsidP="00786576">
      <w:pPr>
        <w:spacing w:after="0" w:line="240" w:lineRule="auto"/>
      </w:pPr>
      <w:r>
        <w:separator/>
      </w:r>
    </w:p>
  </w:footnote>
  <w:footnote w:type="continuationSeparator" w:id="0">
    <w:p w:rsidR="005E2071" w:rsidRDefault="005E2071" w:rsidP="00786576">
      <w:pPr>
        <w:spacing w:after="0" w:line="240" w:lineRule="auto"/>
      </w:pPr>
      <w:r>
        <w:continuationSeparator/>
      </w:r>
    </w:p>
  </w:footnote>
  <w:footnote w:id="1">
    <w:p w:rsidR="00073D83" w:rsidRPr="00666E95" w:rsidRDefault="00073D83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73D83" w:rsidRPr="00666E95" w:rsidRDefault="00073D8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73D83" w:rsidRPr="00666E95" w:rsidRDefault="00073D8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A82139" w:rsidRPr="00666E95" w:rsidRDefault="00A82139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A82139" w:rsidRPr="00666E95" w:rsidRDefault="00A82139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536CEB" w:rsidRPr="00871366" w:rsidRDefault="00536CEB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1A6D" w:rsidRDefault="00C01A6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C01A6D" w:rsidRPr="00666E95" w:rsidRDefault="00C01A6D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8">
    <w:p w:rsidR="00073D83" w:rsidRPr="00666E95" w:rsidRDefault="00073D8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816"/>
    <w:multiLevelType w:val="hybridMultilevel"/>
    <w:tmpl w:val="C46CEAD0"/>
    <w:lvl w:ilvl="0" w:tplc="D42C4CF4">
      <w:start w:val="4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B6E"/>
    <w:multiLevelType w:val="hybridMultilevel"/>
    <w:tmpl w:val="87B0F742"/>
    <w:lvl w:ilvl="0" w:tplc="5DBA302C">
      <w:start w:val="9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49E1"/>
    <w:rsid w:val="00017D7B"/>
    <w:rsid w:val="0002079B"/>
    <w:rsid w:val="00022ACB"/>
    <w:rsid w:val="00030776"/>
    <w:rsid w:val="00051C46"/>
    <w:rsid w:val="0005683E"/>
    <w:rsid w:val="00060A65"/>
    <w:rsid w:val="00067764"/>
    <w:rsid w:val="00067D1A"/>
    <w:rsid w:val="000725BC"/>
    <w:rsid w:val="00072F02"/>
    <w:rsid w:val="00072F65"/>
    <w:rsid w:val="00073B8B"/>
    <w:rsid w:val="00073D83"/>
    <w:rsid w:val="000763E9"/>
    <w:rsid w:val="00077C45"/>
    <w:rsid w:val="0008713C"/>
    <w:rsid w:val="00092F2E"/>
    <w:rsid w:val="00094659"/>
    <w:rsid w:val="000A4DF9"/>
    <w:rsid w:val="000B39BC"/>
    <w:rsid w:val="000C2312"/>
    <w:rsid w:val="000D43FF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516C1"/>
    <w:rsid w:val="0015236B"/>
    <w:rsid w:val="0017340F"/>
    <w:rsid w:val="00192163"/>
    <w:rsid w:val="001A139E"/>
    <w:rsid w:val="001B5C5E"/>
    <w:rsid w:val="001B766A"/>
    <w:rsid w:val="001C1376"/>
    <w:rsid w:val="001D2DE7"/>
    <w:rsid w:val="001D7C1B"/>
    <w:rsid w:val="00202571"/>
    <w:rsid w:val="00206A12"/>
    <w:rsid w:val="00220044"/>
    <w:rsid w:val="00221B46"/>
    <w:rsid w:val="00231F87"/>
    <w:rsid w:val="00241D29"/>
    <w:rsid w:val="00245047"/>
    <w:rsid w:val="00251E2D"/>
    <w:rsid w:val="00257AD5"/>
    <w:rsid w:val="00260223"/>
    <w:rsid w:val="0026339A"/>
    <w:rsid w:val="00265787"/>
    <w:rsid w:val="00276386"/>
    <w:rsid w:val="00290949"/>
    <w:rsid w:val="00292B73"/>
    <w:rsid w:val="002A1EA3"/>
    <w:rsid w:val="002A467F"/>
    <w:rsid w:val="002A4E98"/>
    <w:rsid w:val="002B5A4B"/>
    <w:rsid w:val="002B67B1"/>
    <w:rsid w:val="002C054A"/>
    <w:rsid w:val="002C6910"/>
    <w:rsid w:val="002D34FD"/>
    <w:rsid w:val="002E0862"/>
    <w:rsid w:val="002F1664"/>
    <w:rsid w:val="002F67BF"/>
    <w:rsid w:val="002F761D"/>
    <w:rsid w:val="00304D02"/>
    <w:rsid w:val="00312064"/>
    <w:rsid w:val="003121FD"/>
    <w:rsid w:val="003539BC"/>
    <w:rsid w:val="003604D3"/>
    <w:rsid w:val="00360A90"/>
    <w:rsid w:val="00364B6A"/>
    <w:rsid w:val="0036665E"/>
    <w:rsid w:val="003777CF"/>
    <w:rsid w:val="003778C8"/>
    <w:rsid w:val="003839FE"/>
    <w:rsid w:val="00385491"/>
    <w:rsid w:val="0039008A"/>
    <w:rsid w:val="00391876"/>
    <w:rsid w:val="003B0E19"/>
    <w:rsid w:val="003B7833"/>
    <w:rsid w:val="003B7D01"/>
    <w:rsid w:val="003C3A86"/>
    <w:rsid w:val="003D7964"/>
    <w:rsid w:val="003E599E"/>
    <w:rsid w:val="003F60FA"/>
    <w:rsid w:val="004059C2"/>
    <w:rsid w:val="00414638"/>
    <w:rsid w:val="00433A42"/>
    <w:rsid w:val="004373B4"/>
    <w:rsid w:val="00445A6C"/>
    <w:rsid w:val="00451963"/>
    <w:rsid w:val="00462E36"/>
    <w:rsid w:val="00476B4C"/>
    <w:rsid w:val="0048381F"/>
    <w:rsid w:val="00483D28"/>
    <w:rsid w:val="004869FE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513F83"/>
    <w:rsid w:val="00514C85"/>
    <w:rsid w:val="00517F71"/>
    <w:rsid w:val="00522BD8"/>
    <w:rsid w:val="00524859"/>
    <w:rsid w:val="005317C6"/>
    <w:rsid w:val="005355A0"/>
    <w:rsid w:val="00536262"/>
    <w:rsid w:val="00536CEB"/>
    <w:rsid w:val="00545C4B"/>
    <w:rsid w:val="00547E5F"/>
    <w:rsid w:val="00552ACE"/>
    <w:rsid w:val="00553A0C"/>
    <w:rsid w:val="00562EB0"/>
    <w:rsid w:val="00570FB8"/>
    <w:rsid w:val="00573976"/>
    <w:rsid w:val="00573A11"/>
    <w:rsid w:val="00582324"/>
    <w:rsid w:val="0058476C"/>
    <w:rsid w:val="00585B2D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5E2071"/>
    <w:rsid w:val="00605F6A"/>
    <w:rsid w:val="00610A1C"/>
    <w:rsid w:val="00617489"/>
    <w:rsid w:val="006309D5"/>
    <w:rsid w:val="00635F5F"/>
    <w:rsid w:val="00636862"/>
    <w:rsid w:val="00641101"/>
    <w:rsid w:val="006460AB"/>
    <w:rsid w:val="00653426"/>
    <w:rsid w:val="00655CA6"/>
    <w:rsid w:val="0066045F"/>
    <w:rsid w:val="006612BE"/>
    <w:rsid w:val="00665AC9"/>
    <w:rsid w:val="0067442B"/>
    <w:rsid w:val="00677688"/>
    <w:rsid w:val="00677897"/>
    <w:rsid w:val="00677CF2"/>
    <w:rsid w:val="00683DFC"/>
    <w:rsid w:val="006869E0"/>
    <w:rsid w:val="0069619F"/>
    <w:rsid w:val="006C1F4B"/>
    <w:rsid w:val="006D5AAB"/>
    <w:rsid w:val="006E37AD"/>
    <w:rsid w:val="006E548D"/>
    <w:rsid w:val="00710FE0"/>
    <w:rsid w:val="00712E80"/>
    <w:rsid w:val="007471CA"/>
    <w:rsid w:val="00747806"/>
    <w:rsid w:val="00762EA5"/>
    <w:rsid w:val="00772371"/>
    <w:rsid w:val="007751E7"/>
    <w:rsid w:val="007758EA"/>
    <w:rsid w:val="00781C46"/>
    <w:rsid w:val="00786576"/>
    <w:rsid w:val="00791E04"/>
    <w:rsid w:val="007A3849"/>
    <w:rsid w:val="007B0286"/>
    <w:rsid w:val="007B1AC0"/>
    <w:rsid w:val="007B37F5"/>
    <w:rsid w:val="007B5F1D"/>
    <w:rsid w:val="007B7516"/>
    <w:rsid w:val="007D1B0D"/>
    <w:rsid w:val="007D5CAF"/>
    <w:rsid w:val="007E076D"/>
    <w:rsid w:val="007F0B74"/>
    <w:rsid w:val="007F440D"/>
    <w:rsid w:val="0080128E"/>
    <w:rsid w:val="008049D2"/>
    <w:rsid w:val="00811543"/>
    <w:rsid w:val="008129FC"/>
    <w:rsid w:val="00815F72"/>
    <w:rsid w:val="00827D33"/>
    <w:rsid w:val="008342CE"/>
    <w:rsid w:val="008464C2"/>
    <w:rsid w:val="00847C04"/>
    <w:rsid w:val="00850E9D"/>
    <w:rsid w:val="00885DAB"/>
    <w:rsid w:val="008A32A7"/>
    <w:rsid w:val="008A434C"/>
    <w:rsid w:val="008B46F5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258C"/>
    <w:rsid w:val="00932B03"/>
    <w:rsid w:val="00935D3A"/>
    <w:rsid w:val="009417C2"/>
    <w:rsid w:val="00964435"/>
    <w:rsid w:val="00972B6F"/>
    <w:rsid w:val="00974F82"/>
    <w:rsid w:val="00994CD8"/>
    <w:rsid w:val="009975A5"/>
    <w:rsid w:val="009A368B"/>
    <w:rsid w:val="009B3CC5"/>
    <w:rsid w:val="009C1F08"/>
    <w:rsid w:val="009C41F1"/>
    <w:rsid w:val="009D5348"/>
    <w:rsid w:val="009D6D05"/>
    <w:rsid w:val="009E299B"/>
    <w:rsid w:val="009F3E93"/>
    <w:rsid w:val="009F47B3"/>
    <w:rsid w:val="009F76EB"/>
    <w:rsid w:val="00A0054D"/>
    <w:rsid w:val="00A04A09"/>
    <w:rsid w:val="00A07BC0"/>
    <w:rsid w:val="00A216D3"/>
    <w:rsid w:val="00A31EDE"/>
    <w:rsid w:val="00A51687"/>
    <w:rsid w:val="00A51FC1"/>
    <w:rsid w:val="00A7331E"/>
    <w:rsid w:val="00A82139"/>
    <w:rsid w:val="00A852F3"/>
    <w:rsid w:val="00A90E4A"/>
    <w:rsid w:val="00A92398"/>
    <w:rsid w:val="00A94599"/>
    <w:rsid w:val="00AA02FC"/>
    <w:rsid w:val="00AB5046"/>
    <w:rsid w:val="00AD30EC"/>
    <w:rsid w:val="00AD7EB1"/>
    <w:rsid w:val="00AE4657"/>
    <w:rsid w:val="00AF46C8"/>
    <w:rsid w:val="00B015FF"/>
    <w:rsid w:val="00B02C7B"/>
    <w:rsid w:val="00B0362B"/>
    <w:rsid w:val="00B321A8"/>
    <w:rsid w:val="00B330F3"/>
    <w:rsid w:val="00B53A9A"/>
    <w:rsid w:val="00B5658F"/>
    <w:rsid w:val="00B82EC8"/>
    <w:rsid w:val="00BB33DF"/>
    <w:rsid w:val="00BC0883"/>
    <w:rsid w:val="00BC242D"/>
    <w:rsid w:val="00BC6458"/>
    <w:rsid w:val="00BC6F0B"/>
    <w:rsid w:val="00BD22C1"/>
    <w:rsid w:val="00BD2726"/>
    <w:rsid w:val="00BE6F4E"/>
    <w:rsid w:val="00BF64FC"/>
    <w:rsid w:val="00C01A6D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9103D"/>
    <w:rsid w:val="00C910F6"/>
    <w:rsid w:val="00C9472B"/>
    <w:rsid w:val="00CA4839"/>
    <w:rsid w:val="00CB14CE"/>
    <w:rsid w:val="00CC1B16"/>
    <w:rsid w:val="00CC4554"/>
    <w:rsid w:val="00CD5303"/>
    <w:rsid w:val="00CF46C1"/>
    <w:rsid w:val="00CF5969"/>
    <w:rsid w:val="00CF71EE"/>
    <w:rsid w:val="00D0153A"/>
    <w:rsid w:val="00D0352F"/>
    <w:rsid w:val="00D06EC8"/>
    <w:rsid w:val="00D12E6D"/>
    <w:rsid w:val="00D145EA"/>
    <w:rsid w:val="00D34AFB"/>
    <w:rsid w:val="00D42029"/>
    <w:rsid w:val="00D6197B"/>
    <w:rsid w:val="00D63902"/>
    <w:rsid w:val="00D721B5"/>
    <w:rsid w:val="00D8106A"/>
    <w:rsid w:val="00D92486"/>
    <w:rsid w:val="00D97847"/>
    <w:rsid w:val="00DA3DCF"/>
    <w:rsid w:val="00DA3E86"/>
    <w:rsid w:val="00DB11FE"/>
    <w:rsid w:val="00DC0A98"/>
    <w:rsid w:val="00DC3596"/>
    <w:rsid w:val="00DE721A"/>
    <w:rsid w:val="00DF6BCB"/>
    <w:rsid w:val="00E068A8"/>
    <w:rsid w:val="00E14BDC"/>
    <w:rsid w:val="00E246FE"/>
    <w:rsid w:val="00E46D28"/>
    <w:rsid w:val="00E47E12"/>
    <w:rsid w:val="00E50603"/>
    <w:rsid w:val="00E571D6"/>
    <w:rsid w:val="00E677BD"/>
    <w:rsid w:val="00E82056"/>
    <w:rsid w:val="00E8513C"/>
    <w:rsid w:val="00E86281"/>
    <w:rsid w:val="00E92A3B"/>
    <w:rsid w:val="00EA1EFF"/>
    <w:rsid w:val="00EB51D7"/>
    <w:rsid w:val="00EB5C7C"/>
    <w:rsid w:val="00EC72F4"/>
    <w:rsid w:val="00ED40E9"/>
    <w:rsid w:val="00EE19E8"/>
    <w:rsid w:val="00EE3EC6"/>
    <w:rsid w:val="00EE68AB"/>
    <w:rsid w:val="00EF221A"/>
    <w:rsid w:val="00F33604"/>
    <w:rsid w:val="00F5682E"/>
    <w:rsid w:val="00F57F60"/>
    <w:rsid w:val="00F75F30"/>
    <w:rsid w:val="00F80416"/>
    <w:rsid w:val="00F81FBA"/>
    <w:rsid w:val="00F83691"/>
    <w:rsid w:val="00F8654B"/>
    <w:rsid w:val="00F86CCE"/>
    <w:rsid w:val="00F94277"/>
    <w:rsid w:val="00F95334"/>
    <w:rsid w:val="00FA3C36"/>
    <w:rsid w:val="00FA61FE"/>
    <w:rsid w:val="00FA63F1"/>
    <w:rsid w:val="00FA7AE6"/>
    <w:rsid w:val="00FB7D90"/>
    <w:rsid w:val="00FC51CC"/>
    <w:rsid w:val="00FE2104"/>
    <w:rsid w:val="00FE2277"/>
    <w:rsid w:val="00FF192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3768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garollc@yandex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lgaroll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346</cp:revision>
  <cp:lastPrinted>2024-06-14T08:26:00Z</cp:lastPrinted>
  <dcterms:created xsi:type="dcterms:W3CDTF">2020-04-06T07:05:00Z</dcterms:created>
  <dcterms:modified xsi:type="dcterms:W3CDTF">2024-06-25T12:18:00Z</dcterms:modified>
</cp:coreProperties>
</file>